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B566F3C" w:rsidR="00D309CC" w:rsidRPr="000271B6" w:rsidRDefault="00D309CC" w:rsidP="00D46431">
      <w:pPr>
        <w:pStyle w:val="CH"/>
        <w:rPr>
          <w:lang w:val="en-US"/>
        </w:rPr>
      </w:pPr>
      <w:bookmarkStart w:id="0" w:name="historyclause"/>
      <w:r w:rsidRPr="000271B6">
        <w:rPr>
          <w:lang w:val="en-US"/>
        </w:rPr>
        <w:t>3GPP RAN</w:t>
      </w:r>
      <w:r w:rsidR="00DD33E9">
        <w:rPr>
          <w:lang w:val="en-US"/>
        </w:rPr>
        <w:t>4</w:t>
      </w:r>
      <w:r w:rsidR="00CF20E3" w:rsidRPr="000271B6">
        <w:rPr>
          <w:lang w:val="en-US"/>
        </w:rPr>
        <w:t xml:space="preserve"> </w:t>
      </w:r>
      <w:r w:rsidRPr="000271B6">
        <w:rPr>
          <w:lang w:val="en-US"/>
        </w:rPr>
        <w:t>Meeting #</w:t>
      </w:r>
      <w:r w:rsidR="00DD33E9">
        <w:rPr>
          <w:lang w:val="en-US"/>
        </w:rPr>
        <w:t>102</w:t>
      </w:r>
      <w:r w:rsidR="00B17447" w:rsidRPr="000271B6">
        <w:rPr>
          <w:lang w:val="en-US"/>
        </w:rPr>
        <w:t>-e</w:t>
      </w:r>
      <w:r w:rsidRPr="000271B6">
        <w:rPr>
          <w:lang w:val="en-US"/>
        </w:rPr>
        <w:tab/>
      </w:r>
      <w:r w:rsidR="00D46431" w:rsidRPr="000271B6">
        <w:rPr>
          <w:lang w:val="en-US"/>
        </w:rPr>
        <w:tab/>
      </w:r>
      <w:r w:rsidR="00DD33E9" w:rsidRPr="00DD33E9">
        <w:rPr>
          <w:lang w:val="en-US"/>
        </w:rPr>
        <w:t>R4-2203701</w:t>
      </w:r>
    </w:p>
    <w:p w14:paraId="50DC9730" w14:textId="72B77574" w:rsidR="00D309CC" w:rsidRPr="000271B6" w:rsidRDefault="00B17447" w:rsidP="00D46431">
      <w:pPr>
        <w:pStyle w:val="CH"/>
        <w:tabs>
          <w:tab w:val="clear" w:pos="7920"/>
        </w:tabs>
        <w:rPr>
          <w:b w:val="0"/>
          <w:lang w:val="en-US"/>
        </w:rPr>
      </w:pPr>
      <w:r w:rsidRPr="000271B6">
        <w:rPr>
          <w:lang w:val="en-US"/>
        </w:rPr>
        <w:t>Electronic Meeting</w:t>
      </w:r>
      <w:r w:rsidR="00D309CC" w:rsidRPr="000271B6">
        <w:rPr>
          <w:lang w:val="en-US"/>
        </w:rPr>
        <w:t xml:space="preserve">, </w:t>
      </w:r>
      <w:r w:rsidR="00DD33E9">
        <w:rPr>
          <w:lang w:val="en-US"/>
        </w:rPr>
        <w:t>February 21 - March 3</w:t>
      </w:r>
      <w:r w:rsidR="00B42DAD">
        <w:rPr>
          <w:lang w:val="en-US"/>
        </w:rPr>
        <w:t>, 2022</w:t>
      </w:r>
      <w:r w:rsidR="00D46431" w:rsidRPr="000271B6">
        <w:rPr>
          <w:lang w:val="en-US"/>
        </w:rPr>
        <w:tab/>
      </w:r>
    </w:p>
    <w:p w14:paraId="39A0EE25" w14:textId="77777777" w:rsidR="00D309CC" w:rsidRPr="000271B6" w:rsidRDefault="00D309CC" w:rsidP="00D309CC">
      <w:pPr>
        <w:tabs>
          <w:tab w:val="left" w:pos="2160"/>
        </w:tabs>
        <w:rPr>
          <w:rFonts w:ascii="Arial" w:hAnsi="Arial" w:cs="Arial"/>
          <w:b/>
          <w:lang w:val="en-US"/>
        </w:rPr>
      </w:pPr>
    </w:p>
    <w:p w14:paraId="6DDCE159" w14:textId="3A43CFC5" w:rsidR="00D309CC" w:rsidRPr="000271B6" w:rsidRDefault="00D309CC" w:rsidP="00D309CC">
      <w:pPr>
        <w:pStyle w:val="CH"/>
        <w:rPr>
          <w:b w:val="0"/>
          <w:color w:val="FF0000"/>
          <w:lang w:val="en-US"/>
        </w:rPr>
      </w:pPr>
      <w:r w:rsidRPr="000271B6">
        <w:rPr>
          <w:lang w:val="en-US"/>
        </w:rPr>
        <w:t>Agenda item:</w:t>
      </w:r>
      <w:r w:rsidRPr="000271B6">
        <w:rPr>
          <w:lang w:val="en-US"/>
        </w:rPr>
        <w:tab/>
      </w:r>
      <w:r w:rsidR="00DD33E9">
        <w:rPr>
          <w:color w:val="000000" w:themeColor="text1"/>
          <w:lang w:val="en-US"/>
        </w:rPr>
        <w:t>14.2</w:t>
      </w:r>
    </w:p>
    <w:p w14:paraId="4DBE005A" w14:textId="49BA3018" w:rsidR="00D309CC" w:rsidRPr="000271B6" w:rsidRDefault="00D309CC" w:rsidP="00D309CC">
      <w:pPr>
        <w:pStyle w:val="CH"/>
        <w:rPr>
          <w:b w:val="0"/>
          <w:lang w:val="en-US"/>
        </w:rPr>
      </w:pPr>
      <w:r w:rsidRPr="000271B6">
        <w:rPr>
          <w:lang w:val="en-US"/>
        </w:rPr>
        <w:t>Source:</w:t>
      </w:r>
      <w:r w:rsidRPr="000271B6">
        <w:rPr>
          <w:lang w:val="en-US"/>
        </w:rPr>
        <w:tab/>
        <w:t>Apple</w:t>
      </w:r>
    </w:p>
    <w:p w14:paraId="0D2061A1" w14:textId="22058B35" w:rsidR="00D309CC" w:rsidRPr="000271B6" w:rsidRDefault="00D309CC" w:rsidP="008301A5">
      <w:pPr>
        <w:pStyle w:val="CH"/>
        <w:ind w:left="2250" w:hanging="2250"/>
        <w:rPr>
          <w:lang w:val="en-US"/>
        </w:rPr>
      </w:pPr>
      <w:r w:rsidRPr="000271B6">
        <w:rPr>
          <w:lang w:val="en-US"/>
        </w:rPr>
        <w:t>Title:</w:t>
      </w:r>
      <w:r w:rsidRPr="000271B6">
        <w:rPr>
          <w:lang w:val="en-US"/>
        </w:rPr>
        <w:tab/>
      </w:r>
      <w:r w:rsidR="00B42DAD">
        <w:rPr>
          <w:lang w:val="en-US"/>
        </w:rPr>
        <w:t>C</w:t>
      </w:r>
      <w:r w:rsidR="00B42DAD" w:rsidRPr="00B42DAD">
        <w:rPr>
          <w:lang w:val="en-US"/>
        </w:rPr>
        <w:t>onditional non-simultaneous Rx/Tx operation</w:t>
      </w:r>
      <w:r w:rsidR="00B42DAD">
        <w:rPr>
          <w:lang w:val="en-US"/>
        </w:rPr>
        <w:t xml:space="preserve"> as a mitigation for high MSD</w:t>
      </w:r>
    </w:p>
    <w:p w14:paraId="2E4E044D" w14:textId="105E07EE" w:rsidR="00D309CC" w:rsidRPr="000271B6" w:rsidRDefault="00D309CC" w:rsidP="00D309CC">
      <w:pPr>
        <w:pStyle w:val="CH"/>
        <w:rPr>
          <w:lang w:val="en-US"/>
        </w:rPr>
      </w:pPr>
      <w:r w:rsidRPr="000271B6">
        <w:rPr>
          <w:lang w:val="en-US"/>
        </w:rPr>
        <w:t>Document for:</w:t>
      </w:r>
      <w:r w:rsidRPr="000271B6">
        <w:rPr>
          <w:lang w:val="en-US"/>
        </w:rPr>
        <w:tab/>
      </w:r>
      <w:r w:rsidR="00DD33E9">
        <w:rPr>
          <w:lang w:val="en-US"/>
        </w:rPr>
        <w:t>Information</w:t>
      </w:r>
    </w:p>
    <w:p w14:paraId="0207DB43" w14:textId="77777777" w:rsidR="00D46431" w:rsidRPr="000271B6" w:rsidRDefault="00D46431" w:rsidP="00D309CC">
      <w:pPr>
        <w:pStyle w:val="CH"/>
        <w:rPr>
          <w:b w:val="0"/>
          <w:color w:val="FF0000"/>
          <w:lang w:val="en-US"/>
        </w:rPr>
      </w:pPr>
    </w:p>
    <w:p w14:paraId="0273524A" w14:textId="352D8CDC" w:rsidR="008E7986" w:rsidRPr="000271B6" w:rsidRDefault="008E7986" w:rsidP="008E7986">
      <w:pPr>
        <w:pStyle w:val="Heading1"/>
        <w:rPr>
          <w:lang w:val="en-US"/>
        </w:rPr>
      </w:pPr>
      <w:r w:rsidRPr="000271B6">
        <w:rPr>
          <w:lang w:val="en-US"/>
        </w:rPr>
        <w:t>1</w:t>
      </w:r>
      <w:r w:rsidRPr="000271B6">
        <w:rPr>
          <w:lang w:val="en-US"/>
        </w:rPr>
        <w:tab/>
        <w:t>Introduction</w:t>
      </w:r>
    </w:p>
    <w:p w14:paraId="2A5C5F47" w14:textId="5D0FF8EF" w:rsidR="00201A0D" w:rsidRDefault="00E26690" w:rsidP="0075242E">
      <w:pPr>
        <w:rPr>
          <w:lang w:val="en-US"/>
        </w:rPr>
      </w:pPr>
      <w:r>
        <w:rPr>
          <w:lang w:val="en-US"/>
        </w:rPr>
        <w:t xml:space="preserve">We have observed an ongoing discussion in RAN4 related to the operator request to reduce </w:t>
      </w:r>
      <w:r w:rsidR="005929E9">
        <w:rPr>
          <w:lang w:val="en-US"/>
        </w:rPr>
        <w:t xml:space="preserve">the </w:t>
      </w:r>
      <w:r w:rsidR="00801714">
        <w:rPr>
          <w:lang w:val="en-US"/>
        </w:rPr>
        <w:t xml:space="preserve">allowed </w:t>
      </w:r>
      <w:r w:rsidR="005929E9">
        <w:rPr>
          <w:lang w:val="en-US"/>
        </w:rPr>
        <w:t>maximum sensitivity degradation (MSD) of CA/DC band combinations</w:t>
      </w:r>
      <w:r w:rsidR="00801714">
        <w:rPr>
          <w:lang w:val="en-US"/>
        </w:rPr>
        <w:t xml:space="preserve">, </w:t>
      </w:r>
      <w:r w:rsidR="005929E9">
        <w:rPr>
          <w:lang w:val="en-US"/>
        </w:rPr>
        <w:t xml:space="preserve">including PC2 CA configurations.  </w:t>
      </w:r>
      <w:r w:rsidR="00437538">
        <w:rPr>
          <w:lang w:val="en-US"/>
        </w:rPr>
        <w:t xml:space="preserve">MSD requirements are defined </w:t>
      </w:r>
      <w:r w:rsidR="00B40162">
        <w:rPr>
          <w:lang w:val="en-US"/>
        </w:rPr>
        <w:t xml:space="preserve">in the RAN4 specifications </w:t>
      </w:r>
      <w:r w:rsidR="00437538">
        <w:rPr>
          <w:lang w:val="en-US"/>
        </w:rPr>
        <w:t>for CA/DC configurations where</w:t>
      </w:r>
      <w:r w:rsidR="00437538" w:rsidRPr="00437538">
        <w:rPr>
          <w:lang w:val="en-US"/>
        </w:rPr>
        <w:t xml:space="preserve"> </w:t>
      </w:r>
      <w:r w:rsidR="00437538">
        <w:rPr>
          <w:lang w:val="en-US"/>
        </w:rPr>
        <w:t xml:space="preserve">there exists </w:t>
      </w:r>
      <w:r w:rsidR="00437538" w:rsidRPr="00437538">
        <w:rPr>
          <w:lang w:val="en-US"/>
        </w:rPr>
        <w:t>REFSENS impact (MSD) from UL aggressor harmonic or intermodulation interference to DL victim carrier</w:t>
      </w:r>
      <w:r w:rsidR="00437538">
        <w:rPr>
          <w:lang w:val="en-US"/>
        </w:rPr>
        <w:t>.</w:t>
      </w:r>
      <w:r w:rsidR="00201A0D">
        <w:rPr>
          <w:lang w:val="en-US"/>
        </w:rPr>
        <w:t xml:space="preserve">  Figure 1 below illustrates the typical mechanism.</w:t>
      </w:r>
    </w:p>
    <w:p w14:paraId="42FC6E82" w14:textId="6614383C" w:rsidR="00201A0D" w:rsidRDefault="00201A0D" w:rsidP="00201A0D">
      <w:pPr>
        <w:jc w:val="center"/>
        <w:rPr>
          <w:lang w:val="en-US"/>
        </w:rPr>
      </w:pPr>
      <w:r w:rsidRPr="00201A0D">
        <w:rPr>
          <w:noProof/>
          <w:lang w:val="en-US"/>
        </w:rPr>
        <w:drawing>
          <wp:inline distT="0" distB="0" distL="0" distR="0" wp14:anchorId="30BE50D5" wp14:editId="15B76368">
            <wp:extent cx="3657600" cy="19773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1977327"/>
                    </a:xfrm>
                    <a:prstGeom prst="rect">
                      <a:avLst/>
                    </a:prstGeom>
                  </pic:spPr>
                </pic:pic>
              </a:graphicData>
            </a:graphic>
          </wp:inline>
        </w:drawing>
      </w:r>
    </w:p>
    <w:p w14:paraId="4B448C4B" w14:textId="27ADD3D2" w:rsidR="00201A0D" w:rsidRDefault="00201A0D" w:rsidP="00201A0D">
      <w:pPr>
        <w:pStyle w:val="FL"/>
        <w:rPr>
          <w:lang w:val="en-US"/>
        </w:rPr>
      </w:pPr>
      <w:r w:rsidRPr="000271B6">
        <w:rPr>
          <w:lang w:val="en-US"/>
        </w:rPr>
        <w:t xml:space="preserve">Figure 1: </w:t>
      </w:r>
      <w:r>
        <w:rPr>
          <w:lang w:val="en-US"/>
        </w:rPr>
        <w:t>Illustration of MSD</w:t>
      </w:r>
    </w:p>
    <w:p w14:paraId="219DBFEC" w14:textId="617E1596" w:rsidR="00437538" w:rsidRDefault="00437538" w:rsidP="0075242E">
      <w:pPr>
        <w:rPr>
          <w:lang w:val="en-US"/>
        </w:rPr>
      </w:pPr>
      <w:r>
        <w:rPr>
          <w:lang w:val="en-US"/>
        </w:rPr>
        <w:t xml:space="preserve">Additionally, 3GPP specifications already define requirements for simultaneous Rx/Tx and non-simultaneous Rx/Tx operation, and the network's ability to manage resource allocation to the UE according to these requirements represents a valuable tool for the network in the presence of the MSD problem.  Partly based on such an analysis of MSD, </w:t>
      </w:r>
      <w:r w:rsidRPr="00437538">
        <w:rPr>
          <w:lang w:val="en-US"/>
        </w:rPr>
        <w:t xml:space="preserve">not all CA and DC combinations are mandated to support simultaneous </w:t>
      </w:r>
      <w:r>
        <w:rPr>
          <w:lang w:val="en-US"/>
        </w:rPr>
        <w:t>Rx</w:t>
      </w:r>
      <w:r w:rsidRPr="00437538">
        <w:rPr>
          <w:lang w:val="en-US"/>
        </w:rPr>
        <w:t>/Tx operation</w:t>
      </w:r>
      <w:r w:rsidR="0047251C">
        <w:rPr>
          <w:lang w:val="en-US"/>
        </w:rPr>
        <w:t xml:space="preserve"> in the RAN4 specifications</w:t>
      </w:r>
      <w:r>
        <w:rPr>
          <w:lang w:val="en-US"/>
        </w:rPr>
        <w:t>.</w:t>
      </w:r>
    </w:p>
    <w:p w14:paraId="79F1ED28" w14:textId="7F63CFD4" w:rsidR="00437538" w:rsidRDefault="00437538" w:rsidP="0075242E">
      <w:pPr>
        <w:rPr>
          <w:lang w:val="en-US"/>
        </w:rPr>
      </w:pPr>
      <w:r>
        <w:rPr>
          <w:lang w:val="en-US"/>
        </w:rPr>
        <w:t xml:space="preserve">In this contribution we examine the </w:t>
      </w:r>
      <w:r w:rsidR="006A4038">
        <w:rPr>
          <w:lang w:val="en-US"/>
        </w:rPr>
        <w:t>MSD scenarios in more detail and propose an enhancement to the work scope for the MSD improvement objective, which is part of the Rel-18 FR1 RF enhancement package.</w:t>
      </w:r>
    </w:p>
    <w:p w14:paraId="46E33C19" w14:textId="3CB93906" w:rsidR="003229F4" w:rsidRPr="000271B6" w:rsidRDefault="00083860" w:rsidP="00083860">
      <w:pPr>
        <w:pStyle w:val="Heading1"/>
        <w:rPr>
          <w:lang w:val="en-US"/>
        </w:rPr>
      </w:pPr>
      <w:r w:rsidRPr="000271B6">
        <w:rPr>
          <w:lang w:val="en-US"/>
        </w:rPr>
        <w:t>2</w:t>
      </w:r>
      <w:r w:rsidRPr="000271B6">
        <w:rPr>
          <w:lang w:val="en-US"/>
        </w:rPr>
        <w:tab/>
        <w:t>Discussion</w:t>
      </w:r>
    </w:p>
    <w:p w14:paraId="2B65626C" w14:textId="11DF9195" w:rsidR="0067303A" w:rsidRDefault="006A4038" w:rsidP="006A4038">
      <w:pPr>
        <w:rPr>
          <w:lang w:val="en-US"/>
        </w:rPr>
      </w:pPr>
      <w:r w:rsidRPr="005929E9">
        <w:rPr>
          <w:lang w:val="en-US"/>
        </w:rPr>
        <w:t>In a CA</w:t>
      </w:r>
      <w:r w:rsidR="0067303A">
        <w:rPr>
          <w:lang w:val="en-US"/>
        </w:rPr>
        <w:t>/DC</w:t>
      </w:r>
      <w:r w:rsidRPr="005929E9">
        <w:rPr>
          <w:lang w:val="en-US"/>
        </w:rPr>
        <w:t xml:space="preserve"> configuration between bands of different frequencies, the network employing the low-frequency band can be termed the macro network, while the network employing the high-frequency band can be termed the small cell network</w:t>
      </w:r>
      <w:r w:rsidR="0067303A">
        <w:rPr>
          <w:lang w:val="en-US"/>
        </w:rPr>
        <w:t xml:space="preserve">.  Figure </w:t>
      </w:r>
      <w:r w:rsidR="00201A0D">
        <w:rPr>
          <w:lang w:val="en-US"/>
        </w:rPr>
        <w:t>2</w:t>
      </w:r>
      <w:r w:rsidR="0067303A">
        <w:rPr>
          <w:lang w:val="en-US"/>
        </w:rPr>
        <w:t xml:space="preserve"> below illustrates the scenario for reference.</w:t>
      </w:r>
    </w:p>
    <w:p w14:paraId="26CD5D6D" w14:textId="4DF6787E" w:rsidR="00083860" w:rsidRPr="000271B6" w:rsidRDefault="0067303A" w:rsidP="00083860">
      <w:pPr>
        <w:jc w:val="center"/>
        <w:rPr>
          <w:lang w:val="en-US"/>
        </w:rPr>
      </w:pPr>
      <w:r w:rsidRPr="0067303A">
        <w:rPr>
          <w:noProof/>
          <w:lang w:val="en-US"/>
        </w:rPr>
        <w:lastRenderedPageBreak/>
        <w:drawing>
          <wp:inline distT="0" distB="0" distL="0" distR="0" wp14:anchorId="0379526B" wp14:editId="71E0C01B">
            <wp:extent cx="4572000" cy="33954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3395449"/>
                    </a:xfrm>
                    <a:prstGeom prst="rect">
                      <a:avLst/>
                    </a:prstGeom>
                  </pic:spPr>
                </pic:pic>
              </a:graphicData>
            </a:graphic>
          </wp:inline>
        </w:drawing>
      </w:r>
    </w:p>
    <w:p w14:paraId="2F85E5DB" w14:textId="09E1760B" w:rsidR="00083860" w:rsidRPr="000271B6" w:rsidRDefault="00083860" w:rsidP="00083860">
      <w:pPr>
        <w:pStyle w:val="FL"/>
        <w:rPr>
          <w:lang w:val="en-US"/>
        </w:rPr>
      </w:pPr>
      <w:r w:rsidRPr="000271B6">
        <w:rPr>
          <w:lang w:val="en-US"/>
        </w:rPr>
        <w:t xml:space="preserve">Figure </w:t>
      </w:r>
      <w:r w:rsidR="00201A0D">
        <w:rPr>
          <w:lang w:val="en-US"/>
        </w:rPr>
        <w:t>2</w:t>
      </w:r>
      <w:r w:rsidRPr="000271B6">
        <w:rPr>
          <w:lang w:val="en-US"/>
        </w:rPr>
        <w:t xml:space="preserve">: </w:t>
      </w:r>
      <w:r w:rsidR="0067303A">
        <w:rPr>
          <w:lang w:val="en-US"/>
        </w:rPr>
        <w:t>Illustration of a CA/DC deployment employing different frequencies and non-col</w:t>
      </w:r>
      <w:r w:rsidR="001D3F5D">
        <w:rPr>
          <w:lang w:val="en-US"/>
        </w:rPr>
        <w:t>l</w:t>
      </w:r>
      <w:r w:rsidR="0067303A">
        <w:rPr>
          <w:lang w:val="en-US"/>
        </w:rPr>
        <w:t>ocated cells</w:t>
      </w:r>
    </w:p>
    <w:p w14:paraId="1C883417" w14:textId="77777777" w:rsidR="00992D42" w:rsidRDefault="00992D42" w:rsidP="00083860">
      <w:pPr>
        <w:rPr>
          <w:lang w:val="en-US"/>
        </w:rPr>
      </w:pPr>
    </w:p>
    <w:p w14:paraId="41D87F20" w14:textId="7263C3C9" w:rsidR="007C0C3A" w:rsidRDefault="00992D42" w:rsidP="00992D42">
      <w:pPr>
        <w:rPr>
          <w:lang w:val="en-US"/>
        </w:rPr>
      </w:pPr>
      <w:r w:rsidRPr="00992D42">
        <w:rPr>
          <w:lang w:val="en-US"/>
        </w:rPr>
        <w:t xml:space="preserve">3GPP has defined simultaneous Rx/Tx operation as </w:t>
      </w:r>
      <w:r>
        <w:rPr>
          <w:lang w:val="en-US"/>
        </w:rPr>
        <w:t xml:space="preserve">a </w:t>
      </w:r>
      <w:r w:rsidRPr="00992D42">
        <w:rPr>
          <w:lang w:val="en-US"/>
        </w:rPr>
        <w:t xml:space="preserve">UE capability, such as </w:t>
      </w:r>
      <w:r w:rsidRPr="00992D42">
        <w:rPr>
          <w:i/>
          <w:iCs/>
          <w:lang w:val="en-US"/>
        </w:rPr>
        <w:t>simultaneousRxTxInterBandCA</w:t>
      </w:r>
      <w:r w:rsidRPr="00992D42">
        <w:rPr>
          <w:lang w:val="en-US"/>
        </w:rPr>
        <w:t>, to indicate whether the UE supports simultaneous transmission and reception in TDD-TDD and TDD-FDD inter-band NR CA.</w:t>
      </w:r>
      <w:r w:rsidR="007C0C3A">
        <w:rPr>
          <w:lang w:val="en-US"/>
        </w:rPr>
        <w:t xml:space="preserve">  Figure 3 below illustrates both operating modes for two TDD bands.</w:t>
      </w:r>
    </w:p>
    <w:p w14:paraId="589650F8" w14:textId="35CB1C79" w:rsidR="007C0C3A" w:rsidRDefault="007C0C3A" w:rsidP="00992D42">
      <w:pPr>
        <w:rPr>
          <w:lang w:val="en-US"/>
        </w:rPr>
      </w:pPr>
      <w:r w:rsidRPr="007C0C3A">
        <w:rPr>
          <w:noProof/>
          <w:lang w:val="en-US"/>
        </w:rPr>
        <w:drawing>
          <wp:inline distT="0" distB="0" distL="0" distR="0" wp14:anchorId="4C103116" wp14:editId="6EF031FF">
            <wp:extent cx="6122035" cy="2197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197100"/>
                    </a:xfrm>
                    <a:prstGeom prst="rect">
                      <a:avLst/>
                    </a:prstGeom>
                  </pic:spPr>
                </pic:pic>
              </a:graphicData>
            </a:graphic>
          </wp:inline>
        </w:drawing>
      </w:r>
    </w:p>
    <w:p w14:paraId="0128E75A" w14:textId="456400E7" w:rsidR="007C0C3A" w:rsidRPr="000271B6" w:rsidRDefault="007C0C3A" w:rsidP="007C0C3A">
      <w:pPr>
        <w:pStyle w:val="FL"/>
        <w:rPr>
          <w:lang w:val="en-US"/>
        </w:rPr>
      </w:pPr>
      <w:r w:rsidRPr="000271B6">
        <w:rPr>
          <w:lang w:val="en-US"/>
        </w:rPr>
        <w:t xml:space="preserve">Figure </w:t>
      </w:r>
      <w:r>
        <w:rPr>
          <w:lang w:val="en-US"/>
        </w:rPr>
        <w:t>3</w:t>
      </w:r>
      <w:r w:rsidRPr="000271B6">
        <w:rPr>
          <w:lang w:val="en-US"/>
        </w:rPr>
        <w:t xml:space="preserve">: </w:t>
      </w:r>
      <w:r>
        <w:rPr>
          <w:lang w:val="en-US"/>
        </w:rPr>
        <w:t>Illustration of simultaneous Rx/Tx and non-simultaneous Rx/Tx operation with two TDD bands</w:t>
      </w:r>
    </w:p>
    <w:p w14:paraId="7E09D168" w14:textId="6F744775" w:rsidR="00992D42" w:rsidRPr="00992D42" w:rsidRDefault="00992D42" w:rsidP="00992D42">
      <w:pPr>
        <w:rPr>
          <w:lang w:val="en-US"/>
        </w:rPr>
      </w:pPr>
      <w:r w:rsidRPr="00992D42">
        <w:rPr>
          <w:lang w:val="en-US"/>
        </w:rPr>
        <w:t xml:space="preserve">However, since MSD </w:t>
      </w:r>
      <w:r w:rsidR="001D3F5D">
        <w:rPr>
          <w:lang w:val="en-US"/>
        </w:rPr>
        <w:t xml:space="preserve">mostly </w:t>
      </w:r>
      <w:r w:rsidRPr="00992D42">
        <w:rPr>
          <w:lang w:val="en-US"/>
        </w:rPr>
        <w:t>only happens under the scenario where UE is near the cell edge and UL interference collides with DL carrier, it would not be efficient if the UE is always configured as non-simultaneous Rx/Tx operation even when UE is close to the base</w:t>
      </w:r>
      <w:r w:rsidR="001D3F5D">
        <w:rPr>
          <w:lang w:val="en-US"/>
        </w:rPr>
        <w:t xml:space="preserve"> </w:t>
      </w:r>
      <w:r w:rsidRPr="00992D42">
        <w:rPr>
          <w:lang w:val="en-US"/>
        </w:rPr>
        <w:t>stations and not subject to MSD.</w:t>
      </w:r>
      <w:r w:rsidR="00684368">
        <w:rPr>
          <w:lang w:val="en-US"/>
        </w:rPr>
        <w:t xml:space="preserve">  Figure </w:t>
      </w:r>
      <w:r w:rsidR="007C0C3A">
        <w:rPr>
          <w:lang w:val="en-US"/>
        </w:rPr>
        <w:t>4</w:t>
      </w:r>
      <w:r w:rsidR="00684368">
        <w:rPr>
          <w:lang w:val="en-US"/>
        </w:rPr>
        <w:t xml:space="preserve"> below illustrates the possible scenarios from the perspective of relative path losses of the CCs in the configuration.</w:t>
      </w:r>
    </w:p>
    <w:p w14:paraId="2EE1C37B" w14:textId="20512109" w:rsidR="00CE323D" w:rsidRDefault="00CE323D" w:rsidP="00992D42">
      <w:pPr>
        <w:rPr>
          <w:lang w:val="en-US"/>
        </w:rPr>
      </w:pPr>
      <w:r w:rsidRPr="00CE323D">
        <w:rPr>
          <w:noProof/>
          <w:lang w:val="en-US"/>
        </w:rPr>
        <w:lastRenderedPageBreak/>
        <w:drawing>
          <wp:inline distT="0" distB="0" distL="0" distR="0" wp14:anchorId="12CA603D" wp14:editId="5AB6CA15">
            <wp:extent cx="2743200" cy="21624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2162464"/>
                    </a:xfrm>
                    <a:prstGeom prst="rect">
                      <a:avLst/>
                    </a:prstGeom>
                  </pic:spPr>
                </pic:pic>
              </a:graphicData>
            </a:graphic>
          </wp:inline>
        </w:drawing>
      </w:r>
      <w:r w:rsidRPr="00CE323D">
        <w:rPr>
          <w:noProof/>
        </w:rPr>
        <w:t xml:space="preserve"> </w:t>
      </w:r>
      <w:r w:rsidRPr="00CE323D">
        <w:rPr>
          <w:noProof/>
          <w:lang w:val="en-US"/>
        </w:rPr>
        <w:drawing>
          <wp:inline distT="0" distB="0" distL="0" distR="0" wp14:anchorId="71695BCB" wp14:editId="425DB448">
            <wp:extent cx="2743200" cy="21741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3200" cy="2174130"/>
                    </a:xfrm>
                    <a:prstGeom prst="rect">
                      <a:avLst/>
                    </a:prstGeom>
                  </pic:spPr>
                </pic:pic>
              </a:graphicData>
            </a:graphic>
          </wp:inline>
        </w:drawing>
      </w:r>
    </w:p>
    <w:p w14:paraId="32CE1219" w14:textId="58C1B290" w:rsidR="00CE323D" w:rsidRPr="000271B6" w:rsidRDefault="00CE323D" w:rsidP="00CE323D">
      <w:pPr>
        <w:pStyle w:val="FL"/>
        <w:rPr>
          <w:lang w:val="en-US"/>
        </w:rPr>
      </w:pPr>
      <w:r w:rsidRPr="000271B6">
        <w:rPr>
          <w:lang w:val="en-US"/>
        </w:rPr>
        <w:t xml:space="preserve">Figure </w:t>
      </w:r>
      <w:r w:rsidR="007C0C3A">
        <w:rPr>
          <w:lang w:val="en-US"/>
        </w:rPr>
        <w:t>4</w:t>
      </w:r>
      <w:r w:rsidRPr="000271B6">
        <w:rPr>
          <w:lang w:val="en-US"/>
        </w:rPr>
        <w:t xml:space="preserve">: </w:t>
      </w:r>
      <w:r>
        <w:rPr>
          <w:lang w:val="en-US"/>
        </w:rPr>
        <w:t>Illustration of MSD path scenarios</w:t>
      </w:r>
    </w:p>
    <w:p w14:paraId="3ECFD26F" w14:textId="2ED295B9" w:rsidR="00083860" w:rsidRDefault="00992D42" w:rsidP="00992D42">
      <w:pPr>
        <w:rPr>
          <w:lang w:val="en-US"/>
        </w:rPr>
      </w:pPr>
      <w:r w:rsidRPr="00992D42">
        <w:rPr>
          <w:lang w:val="en-US"/>
        </w:rPr>
        <w:t>On the other hand, for certain band combinations mandated to support simultaneous Rx/Tx operation, they are still subject to relatively high MSD which could severely impact the UE and network performance under simultaneous Rx/Tx operation, in particular, when PCell DL is affected.</w:t>
      </w:r>
    </w:p>
    <w:p w14:paraId="36565DFC" w14:textId="3328ECD4" w:rsidR="0036318D" w:rsidRDefault="0036318D" w:rsidP="0036318D">
      <w:pPr>
        <w:rPr>
          <w:lang w:val="en-US"/>
        </w:rPr>
      </w:pPr>
      <w:r w:rsidRPr="0036318D">
        <w:rPr>
          <w:lang w:val="en-US"/>
        </w:rPr>
        <w:t xml:space="preserve">Since the total power of the self-interference into the victim band depends on the output power of the aggressor band, it is possible to identify certain </w:t>
      </w:r>
      <w:r>
        <w:rPr>
          <w:lang w:val="en-US"/>
        </w:rPr>
        <w:t>operating</w:t>
      </w:r>
      <w:r w:rsidRPr="0036318D">
        <w:rPr>
          <w:lang w:val="en-US"/>
        </w:rPr>
        <w:t xml:space="preserve"> conditions under which performance degradation due to MSD is significant, and others when it is not</w:t>
      </w:r>
      <w:r>
        <w:rPr>
          <w:lang w:val="en-US"/>
        </w:rPr>
        <w:t xml:space="preserve">.  </w:t>
      </w:r>
      <w:r w:rsidR="000634F2">
        <w:rPr>
          <w:lang w:val="en-US"/>
        </w:rPr>
        <w:t>For example, when</w:t>
      </w:r>
      <w:r w:rsidR="000634F2" w:rsidRPr="0036318D">
        <w:rPr>
          <w:lang w:val="en-US"/>
        </w:rPr>
        <w:t xml:space="preserve"> </w:t>
      </w:r>
      <w:r w:rsidRPr="0036318D">
        <w:rPr>
          <w:lang w:val="en-US"/>
        </w:rPr>
        <w:t>the UE-BS path loss is large enough, the UE needs to receive the CC2 DL signal near its reference sensitivity level; assuming the UE needs to transmit on CC1 with high output power, the self-interference level into CC2 receive</w:t>
      </w:r>
      <w:r w:rsidR="004374E8">
        <w:rPr>
          <w:lang w:val="en-US"/>
        </w:rPr>
        <w:t>r</w:t>
      </w:r>
      <w:r w:rsidRPr="0036318D">
        <w:rPr>
          <w:lang w:val="en-US"/>
        </w:rPr>
        <w:t xml:space="preserve"> is high, and performance degradation is significant</w:t>
      </w:r>
      <w:r>
        <w:rPr>
          <w:lang w:val="en-US"/>
        </w:rPr>
        <w:t xml:space="preserve">.  </w:t>
      </w:r>
      <w:r w:rsidRPr="0036318D">
        <w:rPr>
          <w:lang w:val="en-US"/>
        </w:rPr>
        <w:t xml:space="preserve">When the UE-BS path loss is small, the UE receives the CC2 DL signal at a level higher than reference sensitivity, which allows it to maintain an acceptable SIR </w:t>
      </w:r>
      <w:r w:rsidR="004374E8">
        <w:rPr>
          <w:lang w:val="en-US"/>
        </w:rPr>
        <w:t xml:space="preserve">(Signal-to-Interference Ratio) </w:t>
      </w:r>
      <w:r w:rsidRPr="0036318D">
        <w:rPr>
          <w:lang w:val="en-US"/>
        </w:rPr>
        <w:t>level for DL signal demodulation.</w:t>
      </w:r>
      <w:r w:rsidR="00ED7253">
        <w:rPr>
          <w:lang w:val="en-US"/>
        </w:rPr>
        <w:t xml:space="preserve"> On the other hand, w</w:t>
      </w:r>
      <w:r w:rsidR="00ED7253" w:rsidRPr="0036318D">
        <w:rPr>
          <w:lang w:val="en-US"/>
        </w:rPr>
        <w:t>hen the aggressor CC1 path loss is low, transmit power control procedures reduce the UE’s output power, such that the wanted DL signal power level of CC2 (even with high path loss) can be stronger than UL interference (Scenarios 3 and 4)</w:t>
      </w:r>
      <w:r w:rsidR="00ED7253">
        <w:rPr>
          <w:lang w:val="en-US"/>
        </w:rPr>
        <w:t>, and the MSD issue is not observed in field operations.</w:t>
      </w:r>
    </w:p>
    <w:p w14:paraId="6C2F8A28" w14:textId="77777777" w:rsidR="0036318D" w:rsidRPr="00002CFB" w:rsidRDefault="0036318D" w:rsidP="0036318D">
      <w:pPr>
        <w:rPr>
          <w:b/>
          <w:bCs/>
          <w:lang w:val="en-US"/>
        </w:rPr>
      </w:pPr>
      <w:r w:rsidRPr="00002CFB">
        <w:rPr>
          <w:b/>
          <w:bCs/>
          <w:lang w:val="en-US"/>
        </w:rPr>
        <w:t xml:space="preserve">Observation 1: </w:t>
      </w:r>
      <w:r>
        <w:rPr>
          <w:b/>
          <w:bCs/>
          <w:lang w:val="en-US"/>
        </w:rPr>
        <w:t>An optimization of network scheduling of DL resources to the victim CC and UL resources to the aggressor CC can be envisioned to significantly reduce or completely avoid MSD impact, if the network can obtain the necessary information of the UE's operating scenario in terms of propagation conditions, interference level in the victim CC, configured output power in the aggressor CC, and resource allocations.</w:t>
      </w:r>
      <w:r w:rsidRPr="00002CFB">
        <w:rPr>
          <w:b/>
          <w:bCs/>
          <w:lang w:val="en-US"/>
        </w:rPr>
        <w:t xml:space="preserve">  </w:t>
      </w:r>
    </w:p>
    <w:p w14:paraId="6CF9BBEB" w14:textId="5771EC88" w:rsidR="0036318D" w:rsidRPr="000271B6" w:rsidRDefault="0036318D" w:rsidP="00992D42">
      <w:pPr>
        <w:rPr>
          <w:lang w:val="en-US"/>
        </w:rPr>
      </w:pPr>
      <w:r w:rsidRPr="0036318D">
        <w:rPr>
          <w:lang w:val="en-US"/>
        </w:rPr>
        <w:t>For system performance optimization, switching between simultaneous and non-simultaneous Rx/Tx operations based on different operation scenarios may be desired</w:t>
      </w:r>
      <w:r>
        <w:rPr>
          <w:lang w:val="en-US"/>
        </w:rPr>
        <w:t xml:space="preserve">.  </w:t>
      </w:r>
      <w:r w:rsidRPr="0036318D">
        <w:rPr>
          <w:lang w:val="en-US"/>
        </w:rPr>
        <w:t>In general, optimal network performance can be achieved by configuring the UE for non-simultaneous Rx/Tx operation in Scenario 1 and for simultaneous Rx/Tx operation in Scenario</w:t>
      </w:r>
      <w:r w:rsidR="00ED7253">
        <w:rPr>
          <w:lang w:val="en-US"/>
        </w:rPr>
        <w:t>s</w:t>
      </w:r>
      <w:r w:rsidRPr="0036318D">
        <w:rPr>
          <w:lang w:val="en-US"/>
        </w:rPr>
        <w:t xml:space="preserve"> 2</w:t>
      </w:r>
      <w:r w:rsidR="00ED7253">
        <w:rPr>
          <w:lang w:val="en-US"/>
        </w:rPr>
        <w:t>, 3, and 4</w:t>
      </w:r>
      <w:r>
        <w:rPr>
          <w:lang w:val="en-US"/>
        </w:rPr>
        <w:t xml:space="preserve">.  </w:t>
      </w:r>
    </w:p>
    <w:p w14:paraId="19DCC7ED" w14:textId="566EAE73" w:rsidR="00BF0DEA" w:rsidRPr="000271B6" w:rsidRDefault="00F2699A" w:rsidP="00F2699A">
      <w:pPr>
        <w:pStyle w:val="TOC1"/>
        <w:rPr>
          <w:noProof/>
          <w:lang w:val="en-US"/>
        </w:rPr>
      </w:pPr>
      <w:r w:rsidRPr="000271B6">
        <w:rPr>
          <w:noProof/>
          <w:lang w:val="en-US"/>
        </w:rPr>
        <w:t xml:space="preserve">Proposal </w:t>
      </w:r>
      <w:r w:rsidR="003C4DC4">
        <w:rPr>
          <w:noProof/>
          <w:lang w:val="en-US"/>
        </w:rPr>
        <w:t>1</w:t>
      </w:r>
      <w:r w:rsidRPr="000271B6">
        <w:rPr>
          <w:noProof/>
          <w:lang w:val="en-US"/>
        </w:rPr>
        <w:t>:</w:t>
      </w:r>
      <w:r w:rsidRPr="000271B6">
        <w:rPr>
          <w:noProof/>
          <w:lang w:val="en-US"/>
        </w:rPr>
        <w:tab/>
      </w:r>
      <w:r w:rsidR="00BF0DEA">
        <w:rPr>
          <w:noProof/>
          <w:lang w:val="en-US"/>
        </w:rPr>
        <w:t>Include the following objective to the "i</w:t>
      </w:r>
      <w:r w:rsidR="00BF0DEA" w:rsidRPr="00BF0DEA">
        <w:rPr>
          <w:noProof/>
          <w:lang w:val="en-US"/>
        </w:rPr>
        <w:t>nvestigate and introduce lower MSD for inter-band CA/EN-DC combinations</w:t>
      </w:r>
      <w:r w:rsidR="00BF0DEA">
        <w:rPr>
          <w:noProof/>
          <w:lang w:val="en-US"/>
        </w:rPr>
        <w:t>" work scope:</w:t>
      </w:r>
      <w:r w:rsidR="00BF0DEA">
        <w:rPr>
          <w:noProof/>
          <w:lang w:val="en-US"/>
        </w:rPr>
        <w:br/>
        <w:t>- Investigate dynamic configuration of simultaneous and non-simultaneous Rx/Tx operation as a means to mitigate MSD impact on network performance</w:t>
      </w:r>
      <w:r w:rsidR="00BF0DEA">
        <w:rPr>
          <w:noProof/>
          <w:lang w:val="en-US"/>
        </w:rPr>
        <w:br/>
        <w:t xml:space="preserve">- Consider </w:t>
      </w:r>
      <w:r w:rsidR="0059234A" w:rsidRPr="0059234A">
        <w:rPr>
          <w:noProof/>
          <w:lang w:val="en-US"/>
        </w:rPr>
        <w:t>how to provide to the</w:t>
      </w:r>
      <w:r w:rsidR="0059234A">
        <w:rPr>
          <w:noProof/>
          <w:lang w:val="en-US"/>
        </w:rPr>
        <w:t xml:space="preserve"> </w:t>
      </w:r>
      <w:r w:rsidR="003841B3">
        <w:rPr>
          <w:noProof/>
          <w:lang w:val="en-US"/>
        </w:rPr>
        <w:t xml:space="preserve">network knowledge of </w:t>
      </w:r>
      <w:r w:rsidR="003841B3" w:rsidRPr="003841B3">
        <w:rPr>
          <w:noProof/>
          <w:lang w:val="en-US"/>
        </w:rPr>
        <w:t>the necessary information of the UE's operating scenario in terms of propagation conditions, interference level in the victim CC, configured output power in the aggressor CC, and resource allocations</w:t>
      </w:r>
      <w:r w:rsidR="007F6F6E">
        <w:rPr>
          <w:noProof/>
          <w:lang w:val="en-US"/>
        </w:rPr>
        <w:t xml:space="preserve"> in both CCs</w:t>
      </w:r>
    </w:p>
    <w:p w14:paraId="34C99636" w14:textId="608193FF" w:rsidR="008E7986" w:rsidRPr="000271B6" w:rsidRDefault="00757123" w:rsidP="008E7986">
      <w:pPr>
        <w:pStyle w:val="Heading1"/>
        <w:rPr>
          <w:lang w:val="en-US"/>
        </w:rPr>
      </w:pPr>
      <w:r w:rsidRPr="000271B6">
        <w:rPr>
          <w:lang w:val="en-US"/>
        </w:rPr>
        <w:t>3</w:t>
      </w:r>
      <w:r w:rsidR="008E7986" w:rsidRPr="000271B6">
        <w:rPr>
          <w:lang w:val="en-US"/>
        </w:rPr>
        <w:tab/>
        <w:t>Conclusions</w:t>
      </w:r>
    </w:p>
    <w:bookmarkEnd w:id="0"/>
    <w:p w14:paraId="22CB4EF0" w14:textId="16C4458F" w:rsidR="008858CA" w:rsidRDefault="008858CA" w:rsidP="008858CA">
      <w:pPr>
        <w:rPr>
          <w:lang w:val="en-US"/>
        </w:rPr>
      </w:pPr>
      <w:r>
        <w:rPr>
          <w:lang w:val="en-US"/>
        </w:rPr>
        <w:t>In this contribution we examine the MSD scenarios in more detail and propose an enhancement to the work scope for the MSD improvement objective, which is part of the Rel-18 FR1 RF enhancement package, as follows:</w:t>
      </w:r>
    </w:p>
    <w:p w14:paraId="437550FF" w14:textId="512B0277" w:rsidR="008858CA" w:rsidRDefault="008858CA" w:rsidP="008858CA">
      <w:pPr>
        <w:pStyle w:val="TOC1"/>
        <w:rPr>
          <w:noProof/>
          <w:lang w:val="en-US"/>
        </w:rPr>
      </w:pPr>
      <w:r w:rsidRPr="000271B6">
        <w:rPr>
          <w:noProof/>
          <w:lang w:val="en-US"/>
        </w:rPr>
        <w:t xml:space="preserve">Proposal </w:t>
      </w:r>
      <w:r>
        <w:rPr>
          <w:noProof/>
          <w:lang w:val="en-US"/>
        </w:rPr>
        <w:t>1</w:t>
      </w:r>
      <w:r w:rsidRPr="000271B6">
        <w:rPr>
          <w:noProof/>
          <w:lang w:val="en-US"/>
        </w:rPr>
        <w:t>:</w:t>
      </w:r>
      <w:r w:rsidRPr="000271B6">
        <w:rPr>
          <w:noProof/>
          <w:lang w:val="en-US"/>
        </w:rPr>
        <w:tab/>
      </w:r>
      <w:r>
        <w:rPr>
          <w:noProof/>
          <w:lang w:val="en-US"/>
        </w:rPr>
        <w:t>Include the following objective to the "i</w:t>
      </w:r>
      <w:r w:rsidRPr="00BF0DEA">
        <w:rPr>
          <w:noProof/>
          <w:lang w:val="en-US"/>
        </w:rPr>
        <w:t>nvestigate and introduce lower MSD for inter-band CA/EN-DC combinations</w:t>
      </w:r>
      <w:r>
        <w:rPr>
          <w:noProof/>
          <w:lang w:val="en-US"/>
        </w:rPr>
        <w:t>" work scope:</w:t>
      </w:r>
      <w:r>
        <w:rPr>
          <w:noProof/>
          <w:lang w:val="en-US"/>
        </w:rPr>
        <w:br/>
        <w:t>- Investigate dynamic configuration of simultaneous and non-simultaneous Rx/Tx operation as a means to mitigate MSD impact on network performance</w:t>
      </w:r>
      <w:r>
        <w:rPr>
          <w:noProof/>
          <w:lang w:val="en-US"/>
        </w:rPr>
        <w:br/>
        <w:t xml:space="preserve">- Consider </w:t>
      </w:r>
      <w:r w:rsidR="0059234A" w:rsidRPr="0059234A">
        <w:rPr>
          <w:noProof/>
          <w:lang w:val="en-US"/>
        </w:rPr>
        <w:t>how to provide to the</w:t>
      </w:r>
      <w:r w:rsidR="0059234A">
        <w:rPr>
          <w:noProof/>
          <w:lang w:val="en-US"/>
        </w:rPr>
        <w:t xml:space="preserve"> </w:t>
      </w:r>
      <w:r>
        <w:rPr>
          <w:noProof/>
          <w:lang w:val="en-US"/>
        </w:rPr>
        <w:t xml:space="preserve">network knowledge of </w:t>
      </w:r>
      <w:r w:rsidRPr="003841B3">
        <w:rPr>
          <w:noProof/>
          <w:lang w:val="en-US"/>
        </w:rPr>
        <w:t xml:space="preserve">the necessary information of the </w:t>
      </w:r>
      <w:r w:rsidRPr="003841B3">
        <w:rPr>
          <w:noProof/>
          <w:lang w:val="en-US"/>
        </w:rPr>
        <w:lastRenderedPageBreak/>
        <w:t>UE's operating scenario in terms of propagation conditions, interference level in the victim CC, configured output power in the aggressor CC, and resource allocations</w:t>
      </w:r>
      <w:r>
        <w:rPr>
          <w:noProof/>
          <w:lang w:val="en-US"/>
        </w:rPr>
        <w:t xml:space="preserve"> in both CCs</w:t>
      </w:r>
    </w:p>
    <w:p w14:paraId="446075F6" w14:textId="31E9DFF8" w:rsidR="001A4A9A" w:rsidRPr="000271B6" w:rsidRDefault="00757123" w:rsidP="001A4A9A">
      <w:pPr>
        <w:pStyle w:val="Heading1"/>
        <w:rPr>
          <w:lang w:val="en-US"/>
        </w:rPr>
      </w:pPr>
      <w:r w:rsidRPr="000271B6">
        <w:rPr>
          <w:lang w:val="en-US"/>
        </w:rPr>
        <w:t>4</w:t>
      </w:r>
      <w:r w:rsidR="001A4A9A" w:rsidRPr="000271B6">
        <w:rPr>
          <w:lang w:val="en-US"/>
        </w:rPr>
        <w:tab/>
        <w:t>References</w:t>
      </w:r>
    </w:p>
    <w:p w14:paraId="55CAB704" w14:textId="225F0103" w:rsidR="00465FCF" w:rsidRPr="000271B6" w:rsidRDefault="00D267B0" w:rsidP="0064179E">
      <w:pPr>
        <w:pStyle w:val="EX"/>
        <w:rPr>
          <w:lang w:val="en-US"/>
        </w:rPr>
      </w:pPr>
      <w:r>
        <w:rPr>
          <w:lang w:val="en-US"/>
        </w:rPr>
        <w:t>...</w:t>
      </w:r>
    </w:p>
    <w:sectPr w:rsidR="00465FCF" w:rsidRPr="000271B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44FF5" w14:textId="77777777" w:rsidR="00491911" w:rsidRDefault="00491911">
      <w:r>
        <w:separator/>
      </w:r>
    </w:p>
  </w:endnote>
  <w:endnote w:type="continuationSeparator" w:id="0">
    <w:p w14:paraId="2F9B3E8D" w14:textId="77777777" w:rsidR="00491911" w:rsidRDefault="0049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4417F" w:rsidRDefault="00E4417F">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E2644" w14:textId="77777777" w:rsidR="00491911" w:rsidRDefault="00491911">
      <w:r>
        <w:separator/>
      </w:r>
    </w:p>
  </w:footnote>
  <w:footnote w:type="continuationSeparator" w:id="0">
    <w:p w14:paraId="1AD032EB" w14:textId="77777777" w:rsidR="00491911" w:rsidRDefault="0049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C71AD"/>
    <w:multiLevelType w:val="hybridMultilevel"/>
    <w:tmpl w:val="715C6974"/>
    <w:lvl w:ilvl="0" w:tplc="0C520B6E">
      <w:start w:val="1"/>
      <w:numFmt w:val="bullet"/>
      <w:lvlText w:val="•"/>
      <w:lvlJc w:val="left"/>
      <w:pPr>
        <w:tabs>
          <w:tab w:val="num" w:pos="720"/>
        </w:tabs>
        <w:ind w:left="720" w:hanging="360"/>
      </w:pPr>
      <w:rPr>
        <w:rFonts w:ascii="Arial" w:hAnsi="Arial" w:hint="default"/>
      </w:rPr>
    </w:lvl>
    <w:lvl w:ilvl="1" w:tplc="BC186268">
      <w:numFmt w:val="bullet"/>
      <w:lvlText w:val="•"/>
      <w:lvlJc w:val="left"/>
      <w:pPr>
        <w:tabs>
          <w:tab w:val="num" w:pos="1440"/>
        </w:tabs>
        <w:ind w:left="1440" w:hanging="360"/>
      </w:pPr>
      <w:rPr>
        <w:rFonts w:ascii="Arial" w:hAnsi="Arial" w:hint="default"/>
      </w:rPr>
    </w:lvl>
    <w:lvl w:ilvl="2" w:tplc="A11C30DE">
      <w:numFmt w:val="bullet"/>
      <w:lvlText w:val="•"/>
      <w:lvlJc w:val="left"/>
      <w:pPr>
        <w:tabs>
          <w:tab w:val="num" w:pos="2160"/>
        </w:tabs>
        <w:ind w:left="2160" w:hanging="360"/>
      </w:pPr>
      <w:rPr>
        <w:rFonts w:ascii="Arial" w:hAnsi="Arial" w:hint="default"/>
      </w:rPr>
    </w:lvl>
    <w:lvl w:ilvl="3" w:tplc="2594EC8C" w:tentative="1">
      <w:start w:val="1"/>
      <w:numFmt w:val="bullet"/>
      <w:lvlText w:val="•"/>
      <w:lvlJc w:val="left"/>
      <w:pPr>
        <w:tabs>
          <w:tab w:val="num" w:pos="2880"/>
        </w:tabs>
        <w:ind w:left="2880" w:hanging="360"/>
      </w:pPr>
      <w:rPr>
        <w:rFonts w:ascii="Arial" w:hAnsi="Arial" w:hint="default"/>
      </w:rPr>
    </w:lvl>
    <w:lvl w:ilvl="4" w:tplc="702CB16E" w:tentative="1">
      <w:start w:val="1"/>
      <w:numFmt w:val="bullet"/>
      <w:lvlText w:val="•"/>
      <w:lvlJc w:val="left"/>
      <w:pPr>
        <w:tabs>
          <w:tab w:val="num" w:pos="3600"/>
        </w:tabs>
        <w:ind w:left="3600" w:hanging="360"/>
      </w:pPr>
      <w:rPr>
        <w:rFonts w:ascii="Arial" w:hAnsi="Arial" w:hint="default"/>
      </w:rPr>
    </w:lvl>
    <w:lvl w:ilvl="5" w:tplc="718694E6" w:tentative="1">
      <w:start w:val="1"/>
      <w:numFmt w:val="bullet"/>
      <w:lvlText w:val="•"/>
      <w:lvlJc w:val="left"/>
      <w:pPr>
        <w:tabs>
          <w:tab w:val="num" w:pos="4320"/>
        </w:tabs>
        <w:ind w:left="4320" w:hanging="360"/>
      </w:pPr>
      <w:rPr>
        <w:rFonts w:ascii="Arial" w:hAnsi="Arial" w:hint="default"/>
      </w:rPr>
    </w:lvl>
    <w:lvl w:ilvl="6" w:tplc="D5CEF466" w:tentative="1">
      <w:start w:val="1"/>
      <w:numFmt w:val="bullet"/>
      <w:lvlText w:val="•"/>
      <w:lvlJc w:val="left"/>
      <w:pPr>
        <w:tabs>
          <w:tab w:val="num" w:pos="5040"/>
        </w:tabs>
        <w:ind w:left="5040" w:hanging="360"/>
      </w:pPr>
      <w:rPr>
        <w:rFonts w:ascii="Arial" w:hAnsi="Arial" w:hint="default"/>
      </w:rPr>
    </w:lvl>
    <w:lvl w:ilvl="7" w:tplc="9E989532" w:tentative="1">
      <w:start w:val="1"/>
      <w:numFmt w:val="bullet"/>
      <w:lvlText w:val="•"/>
      <w:lvlJc w:val="left"/>
      <w:pPr>
        <w:tabs>
          <w:tab w:val="num" w:pos="5760"/>
        </w:tabs>
        <w:ind w:left="5760" w:hanging="360"/>
      </w:pPr>
      <w:rPr>
        <w:rFonts w:ascii="Arial" w:hAnsi="Arial" w:hint="default"/>
      </w:rPr>
    </w:lvl>
    <w:lvl w:ilvl="8" w:tplc="0FF6D6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26349"/>
    <w:multiLevelType w:val="hybridMultilevel"/>
    <w:tmpl w:val="DD9E75A4"/>
    <w:lvl w:ilvl="0" w:tplc="040B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13"/>
  </w:num>
  <w:num w:numId="8">
    <w:abstractNumId w:val="4"/>
  </w:num>
  <w:num w:numId="9">
    <w:abstractNumId w:val="10"/>
  </w:num>
  <w:num w:numId="10">
    <w:abstractNumId w:val="2"/>
  </w:num>
  <w:num w:numId="11">
    <w:abstractNumId w:val="14"/>
  </w:num>
  <w:num w:numId="12">
    <w:abstractNumId w:val="6"/>
  </w:num>
  <w:num w:numId="13">
    <w:abstractNumId w:val="9"/>
  </w:num>
  <w:num w:numId="14">
    <w:abstractNumId w:val="21"/>
  </w:num>
  <w:num w:numId="15">
    <w:abstractNumId w:val="5"/>
  </w:num>
  <w:num w:numId="16">
    <w:abstractNumId w:val="15"/>
  </w:num>
  <w:num w:numId="17">
    <w:abstractNumId w:val="11"/>
  </w:num>
  <w:num w:numId="18">
    <w:abstractNumId w:val="20"/>
  </w:num>
  <w:num w:numId="19">
    <w:abstractNumId w:val="22"/>
  </w:num>
  <w:num w:numId="20">
    <w:abstractNumId w:val="12"/>
  </w:num>
  <w:num w:numId="21">
    <w:abstractNumId w:val="17"/>
  </w:num>
  <w:num w:numId="22">
    <w:abstractNumId w:val="8"/>
  </w:num>
  <w:num w:numId="23">
    <w:abstractNumId w:val="19"/>
  </w:num>
  <w:num w:numId="24">
    <w:abstractNumId w:val="16"/>
  </w:num>
  <w:num w:numId="25">
    <w:abstractNumId w:val="7"/>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FB"/>
    <w:rsid w:val="00012E4D"/>
    <w:rsid w:val="0001320E"/>
    <w:rsid w:val="000255A7"/>
    <w:rsid w:val="00025CDD"/>
    <w:rsid w:val="000271B6"/>
    <w:rsid w:val="00033397"/>
    <w:rsid w:val="00040095"/>
    <w:rsid w:val="00042F58"/>
    <w:rsid w:val="00042FF8"/>
    <w:rsid w:val="00051834"/>
    <w:rsid w:val="00054A22"/>
    <w:rsid w:val="00055B36"/>
    <w:rsid w:val="00061E44"/>
    <w:rsid w:val="00062023"/>
    <w:rsid w:val="000634F2"/>
    <w:rsid w:val="000655A6"/>
    <w:rsid w:val="0007032C"/>
    <w:rsid w:val="00074895"/>
    <w:rsid w:val="00080512"/>
    <w:rsid w:val="00080E83"/>
    <w:rsid w:val="00082B60"/>
    <w:rsid w:val="00083860"/>
    <w:rsid w:val="00087592"/>
    <w:rsid w:val="00094BF6"/>
    <w:rsid w:val="0009755D"/>
    <w:rsid w:val="000A2DD7"/>
    <w:rsid w:val="000A365D"/>
    <w:rsid w:val="000C47C3"/>
    <w:rsid w:val="000C554A"/>
    <w:rsid w:val="000C7B5A"/>
    <w:rsid w:val="000D1712"/>
    <w:rsid w:val="000D58AB"/>
    <w:rsid w:val="000E6182"/>
    <w:rsid w:val="000F113F"/>
    <w:rsid w:val="000F3D3E"/>
    <w:rsid w:val="00104BC6"/>
    <w:rsid w:val="0012087C"/>
    <w:rsid w:val="00122B1F"/>
    <w:rsid w:val="00124FD7"/>
    <w:rsid w:val="001257D3"/>
    <w:rsid w:val="00133525"/>
    <w:rsid w:val="00136FA6"/>
    <w:rsid w:val="00146EA0"/>
    <w:rsid w:val="00155976"/>
    <w:rsid w:val="00157FC7"/>
    <w:rsid w:val="001741D6"/>
    <w:rsid w:val="00175496"/>
    <w:rsid w:val="0018002F"/>
    <w:rsid w:val="00196EAF"/>
    <w:rsid w:val="0019748B"/>
    <w:rsid w:val="001A29F8"/>
    <w:rsid w:val="001A4A9A"/>
    <w:rsid w:val="001A4C42"/>
    <w:rsid w:val="001B6C06"/>
    <w:rsid w:val="001C21C3"/>
    <w:rsid w:val="001C3200"/>
    <w:rsid w:val="001C6319"/>
    <w:rsid w:val="001D02C2"/>
    <w:rsid w:val="001D3F5D"/>
    <w:rsid w:val="001E5AE6"/>
    <w:rsid w:val="001E63F5"/>
    <w:rsid w:val="001F0C1D"/>
    <w:rsid w:val="001F0E95"/>
    <w:rsid w:val="001F1132"/>
    <w:rsid w:val="001F168B"/>
    <w:rsid w:val="001F5632"/>
    <w:rsid w:val="001F6FEF"/>
    <w:rsid w:val="00201A0D"/>
    <w:rsid w:val="00202604"/>
    <w:rsid w:val="00203C41"/>
    <w:rsid w:val="002057A2"/>
    <w:rsid w:val="00212866"/>
    <w:rsid w:val="0021601D"/>
    <w:rsid w:val="00217864"/>
    <w:rsid w:val="00223880"/>
    <w:rsid w:val="002240CF"/>
    <w:rsid w:val="0023338F"/>
    <w:rsid w:val="002347A2"/>
    <w:rsid w:val="002450D8"/>
    <w:rsid w:val="00247926"/>
    <w:rsid w:val="00250061"/>
    <w:rsid w:val="0026625A"/>
    <w:rsid w:val="002675F0"/>
    <w:rsid w:val="002713E6"/>
    <w:rsid w:val="00276EE4"/>
    <w:rsid w:val="002954D8"/>
    <w:rsid w:val="00295B6D"/>
    <w:rsid w:val="002A546D"/>
    <w:rsid w:val="002B6339"/>
    <w:rsid w:val="002C4DA9"/>
    <w:rsid w:val="002E00EE"/>
    <w:rsid w:val="002E096F"/>
    <w:rsid w:val="002F2CF6"/>
    <w:rsid w:val="002F3D47"/>
    <w:rsid w:val="0031034F"/>
    <w:rsid w:val="003172DC"/>
    <w:rsid w:val="003229F4"/>
    <w:rsid w:val="003310D1"/>
    <w:rsid w:val="00331783"/>
    <w:rsid w:val="0033319F"/>
    <w:rsid w:val="00344DD9"/>
    <w:rsid w:val="00347C71"/>
    <w:rsid w:val="0035462D"/>
    <w:rsid w:val="00360686"/>
    <w:rsid w:val="003613DC"/>
    <w:rsid w:val="0036318D"/>
    <w:rsid w:val="003631EB"/>
    <w:rsid w:val="00366A6D"/>
    <w:rsid w:val="003753AF"/>
    <w:rsid w:val="003765B8"/>
    <w:rsid w:val="0038066E"/>
    <w:rsid w:val="003841B3"/>
    <w:rsid w:val="003918E1"/>
    <w:rsid w:val="00394D73"/>
    <w:rsid w:val="00396185"/>
    <w:rsid w:val="00396203"/>
    <w:rsid w:val="003A0483"/>
    <w:rsid w:val="003C3971"/>
    <w:rsid w:val="003C42FC"/>
    <w:rsid w:val="003C4DC4"/>
    <w:rsid w:val="003C4ED1"/>
    <w:rsid w:val="003C564B"/>
    <w:rsid w:val="003E7753"/>
    <w:rsid w:val="003E7D0B"/>
    <w:rsid w:val="003F2103"/>
    <w:rsid w:val="003F27D4"/>
    <w:rsid w:val="003F65C6"/>
    <w:rsid w:val="0041050A"/>
    <w:rsid w:val="00423334"/>
    <w:rsid w:val="0042352D"/>
    <w:rsid w:val="004345EC"/>
    <w:rsid w:val="004374E8"/>
    <w:rsid w:val="00437538"/>
    <w:rsid w:val="004532F9"/>
    <w:rsid w:val="0045674D"/>
    <w:rsid w:val="004650F8"/>
    <w:rsid w:val="00465FCF"/>
    <w:rsid w:val="00467572"/>
    <w:rsid w:val="00471413"/>
    <w:rsid w:val="0047251C"/>
    <w:rsid w:val="00473D57"/>
    <w:rsid w:val="004826A9"/>
    <w:rsid w:val="004863D7"/>
    <w:rsid w:val="00491911"/>
    <w:rsid w:val="004B2602"/>
    <w:rsid w:val="004B5103"/>
    <w:rsid w:val="004C002B"/>
    <w:rsid w:val="004C1601"/>
    <w:rsid w:val="004C3481"/>
    <w:rsid w:val="004C4DA7"/>
    <w:rsid w:val="004D034A"/>
    <w:rsid w:val="004D3578"/>
    <w:rsid w:val="004D40A9"/>
    <w:rsid w:val="004D5825"/>
    <w:rsid w:val="004D72C4"/>
    <w:rsid w:val="004E213A"/>
    <w:rsid w:val="004E2B61"/>
    <w:rsid w:val="004E72B8"/>
    <w:rsid w:val="004F0988"/>
    <w:rsid w:val="004F3340"/>
    <w:rsid w:val="004F3E3D"/>
    <w:rsid w:val="005025DE"/>
    <w:rsid w:val="00514E38"/>
    <w:rsid w:val="00517E70"/>
    <w:rsid w:val="00525EB5"/>
    <w:rsid w:val="00526CFF"/>
    <w:rsid w:val="00530867"/>
    <w:rsid w:val="00532AD3"/>
    <w:rsid w:val="0053388B"/>
    <w:rsid w:val="005343EF"/>
    <w:rsid w:val="00535773"/>
    <w:rsid w:val="00543E6C"/>
    <w:rsid w:val="00551FC5"/>
    <w:rsid w:val="0056173C"/>
    <w:rsid w:val="00563C27"/>
    <w:rsid w:val="00565087"/>
    <w:rsid w:val="005721BB"/>
    <w:rsid w:val="00572E14"/>
    <w:rsid w:val="005856CE"/>
    <w:rsid w:val="00585A0F"/>
    <w:rsid w:val="0059234A"/>
    <w:rsid w:val="005929E9"/>
    <w:rsid w:val="005973BE"/>
    <w:rsid w:val="005A5986"/>
    <w:rsid w:val="005C3888"/>
    <w:rsid w:val="005D2E01"/>
    <w:rsid w:val="005D7526"/>
    <w:rsid w:val="005E69AE"/>
    <w:rsid w:val="005F3637"/>
    <w:rsid w:val="005F4FD0"/>
    <w:rsid w:val="006011DE"/>
    <w:rsid w:val="00602AEA"/>
    <w:rsid w:val="00607E3C"/>
    <w:rsid w:val="00614FDF"/>
    <w:rsid w:val="00615280"/>
    <w:rsid w:val="006152F8"/>
    <w:rsid w:val="006246A7"/>
    <w:rsid w:val="00625565"/>
    <w:rsid w:val="0062595A"/>
    <w:rsid w:val="00634730"/>
    <w:rsid w:val="0063543D"/>
    <w:rsid w:val="0064179E"/>
    <w:rsid w:val="00642255"/>
    <w:rsid w:val="00642DE3"/>
    <w:rsid w:val="00646CAF"/>
    <w:rsid w:val="00647114"/>
    <w:rsid w:val="00650B54"/>
    <w:rsid w:val="00653390"/>
    <w:rsid w:val="00654D3E"/>
    <w:rsid w:val="006675E6"/>
    <w:rsid w:val="006704EC"/>
    <w:rsid w:val="0067303A"/>
    <w:rsid w:val="00674D66"/>
    <w:rsid w:val="00682C8A"/>
    <w:rsid w:val="00682D0C"/>
    <w:rsid w:val="00682F22"/>
    <w:rsid w:val="00684368"/>
    <w:rsid w:val="006A323F"/>
    <w:rsid w:val="006A4038"/>
    <w:rsid w:val="006B30D0"/>
    <w:rsid w:val="006C3D95"/>
    <w:rsid w:val="006D07D9"/>
    <w:rsid w:val="006D43A6"/>
    <w:rsid w:val="006E212E"/>
    <w:rsid w:val="006E5C86"/>
    <w:rsid w:val="006E7E47"/>
    <w:rsid w:val="00713C44"/>
    <w:rsid w:val="00715490"/>
    <w:rsid w:val="00716FAD"/>
    <w:rsid w:val="00721F55"/>
    <w:rsid w:val="007311BF"/>
    <w:rsid w:val="00733B1E"/>
    <w:rsid w:val="00734A5B"/>
    <w:rsid w:val="007368AE"/>
    <w:rsid w:val="0074026F"/>
    <w:rsid w:val="007429F6"/>
    <w:rsid w:val="00744D00"/>
    <w:rsid w:val="00744E76"/>
    <w:rsid w:val="00747D37"/>
    <w:rsid w:val="00752198"/>
    <w:rsid w:val="0075242E"/>
    <w:rsid w:val="00753881"/>
    <w:rsid w:val="007545D3"/>
    <w:rsid w:val="00757123"/>
    <w:rsid w:val="00760957"/>
    <w:rsid w:val="00765D86"/>
    <w:rsid w:val="00766617"/>
    <w:rsid w:val="007713D4"/>
    <w:rsid w:val="00774DA4"/>
    <w:rsid w:val="00774F1E"/>
    <w:rsid w:val="00781A53"/>
    <w:rsid w:val="00781D07"/>
    <w:rsid w:val="00781F0F"/>
    <w:rsid w:val="00782965"/>
    <w:rsid w:val="0078318F"/>
    <w:rsid w:val="007A0324"/>
    <w:rsid w:val="007A634D"/>
    <w:rsid w:val="007A76F6"/>
    <w:rsid w:val="007B600E"/>
    <w:rsid w:val="007C066A"/>
    <w:rsid w:val="007C0C3A"/>
    <w:rsid w:val="007D26DE"/>
    <w:rsid w:val="007D2D18"/>
    <w:rsid w:val="007D6D85"/>
    <w:rsid w:val="007E405D"/>
    <w:rsid w:val="007F0F4A"/>
    <w:rsid w:val="007F2DB7"/>
    <w:rsid w:val="007F6F6E"/>
    <w:rsid w:val="008007D9"/>
    <w:rsid w:val="00801714"/>
    <w:rsid w:val="008028A4"/>
    <w:rsid w:val="0080441B"/>
    <w:rsid w:val="00815718"/>
    <w:rsid w:val="00820B25"/>
    <w:rsid w:val="0082390F"/>
    <w:rsid w:val="00824AF7"/>
    <w:rsid w:val="008301A5"/>
    <w:rsid w:val="00830747"/>
    <w:rsid w:val="00867537"/>
    <w:rsid w:val="008715DB"/>
    <w:rsid w:val="008768CA"/>
    <w:rsid w:val="008858CA"/>
    <w:rsid w:val="00894FE3"/>
    <w:rsid w:val="008B0466"/>
    <w:rsid w:val="008C384C"/>
    <w:rsid w:val="008C5161"/>
    <w:rsid w:val="008D28E1"/>
    <w:rsid w:val="008E1FF8"/>
    <w:rsid w:val="008E7986"/>
    <w:rsid w:val="008F0727"/>
    <w:rsid w:val="008F6BA1"/>
    <w:rsid w:val="008F6E93"/>
    <w:rsid w:val="0090271F"/>
    <w:rsid w:val="00902E23"/>
    <w:rsid w:val="00903180"/>
    <w:rsid w:val="00905157"/>
    <w:rsid w:val="009114D7"/>
    <w:rsid w:val="0091348E"/>
    <w:rsid w:val="00916F81"/>
    <w:rsid w:val="00917CCB"/>
    <w:rsid w:val="0092177A"/>
    <w:rsid w:val="009305F8"/>
    <w:rsid w:val="00936C43"/>
    <w:rsid w:val="009404A3"/>
    <w:rsid w:val="00942EC2"/>
    <w:rsid w:val="009536FA"/>
    <w:rsid w:val="0097239F"/>
    <w:rsid w:val="00973F6E"/>
    <w:rsid w:val="009826B3"/>
    <w:rsid w:val="009846B8"/>
    <w:rsid w:val="00992D42"/>
    <w:rsid w:val="00996113"/>
    <w:rsid w:val="00997281"/>
    <w:rsid w:val="009A2BFA"/>
    <w:rsid w:val="009A6DA8"/>
    <w:rsid w:val="009B5BF4"/>
    <w:rsid w:val="009D45F3"/>
    <w:rsid w:val="009D481C"/>
    <w:rsid w:val="009D7A5A"/>
    <w:rsid w:val="009E2707"/>
    <w:rsid w:val="009E2A9D"/>
    <w:rsid w:val="009E6E52"/>
    <w:rsid w:val="009F37B7"/>
    <w:rsid w:val="009F5E43"/>
    <w:rsid w:val="009F6F20"/>
    <w:rsid w:val="00A10F02"/>
    <w:rsid w:val="00A11A5E"/>
    <w:rsid w:val="00A15927"/>
    <w:rsid w:val="00A164B4"/>
    <w:rsid w:val="00A16F12"/>
    <w:rsid w:val="00A21135"/>
    <w:rsid w:val="00A26956"/>
    <w:rsid w:val="00A40DE7"/>
    <w:rsid w:val="00A508A3"/>
    <w:rsid w:val="00A53724"/>
    <w:rsid w:val="00A55310"/>
    <w:rsid w:val="00A57C71"/>
    <w:rsid w:val="00A610B1"/>
    <w:rsid w:val="00A6171D"/>
    <w:rsid w:val="00A70A0F"/>
    <w:rsid w:val="00A73129"/>
    <w:rsid w:val="00A75A83"/>
    <w:rsid w:val="00A7650B"/>
    <w:rsid w:val="00A8011F"/>
    <w:rsid w:val="00A82346"/>
    <w:rsid w:val="00A853F7"/>
    <w:rsid w:val="00A91741"/>
    <w:rsid w:val="00A92BA1"/>
    <w:rsid w:val="00AA39F6"/>
    <w:rsid w:val="00AB75C8"/>
    <w:rsid w:val="00AC6BC6"/>
    <w:rsid w:val="00AC7D7B"/>
    <w:rsid w:val="00AD081C"/>
    <w:rsid w:val="00AE3797"/>
    <w:rsid w:val="00AF6377"/>
    <w:rsid w:val="00AF6B7D"/>
    <w:rsid w:val="00AF6CFE"/>
    <w:rsid w:val="00B010BD"/>
    <w:rsid w:val="00B03B5E"/>
    <w:rsid w:val="00B15449"/>
    <w:rsid w:val="00B17447"/>
    <w:rsid w:val="00B2029A"/>
    <w:rsid w:val="00B24DB7"/>
    <w:rsid w:val="00B36631"/>
    <w:rsid w:val="00B40162"/>
    <w:rsid w:val="00B41247"/>
    <w:rsid w:val="00B42DAD"/>
    <w:rsid w:val="00B474C6"/>
    <w:rsid w:val="00B51F12"/>
    <w:rsid w:val="00B52A08"/>
    <w:rsid w:val="00B55BD5"/>
    <w:rsid w:val="00B60E82"/>
    <w:rsid w:val="00B61020"/>
    <w:rsid w:val="00B71D6F"/>
    <w:rsid w:val="00B72643"/>
    <w:rsid w:val="00B814E5"/>
    <w:rsid w:val="00B93086"/>
    <w:rsid w:val="00BA13F1"/>
    <w:rsid w:val="00BA19ED"/>
    <w:rsid w:val="00BA300B"/>
    <w:rsid w:val="00BA4B8D"/>
    <w:rsid w:val="00BA71FB"/>
    <w:rsid w:val="00BB2433"/>
    <w:rsid w:val="00BC0F7D"/>
    <w:rsid w:val="00BC3F76"/>
    <w:rsid w:val="00BC5180"/>
    <w:rsid w:val="00BD4E2E"/>
    <w:rsid w:val="00BE3255"/>
    <w:rsid w:val="00BE5536"/>
    <w:rsid w:val="00BF0DEA"/>
    <w:rsid w:val="00BF128E"/>
    <w:rsid w:val="00BF5DDC"/>
    <w:rsid w:val="00C06E73"/>
    <w:rsid w:val="00C1496A"/>
    <w:rsid w:val="00C2282D"/>
    <w:rsid w:val="00C329C7"/>
    <w:rsid w:val="00C33079"/>
    <w:rsid w:val="00C410E9"/>
    <w:rsid w:val="00C45231"/>
    <w:rsid w:val="00C50B29"/>
    <w:rsid w:val="00C54DF5"/>
    <w:rsid w:val="00C64604"/>
    <w:rsid w:val="00C72833"/>
    <w:rsid w:val="00C80F1D"/>
    <w:rsid w:val="00C92816"/>
    <w:rsid w:val="00C93F40"/>
    <w:rsid w:val="00CA2C5C"/>
    <w:rsid w:val="00CA3D0C"/>
    <w:rsid w:val="00CB0740"/>
    <w:rsid w:val="00CB13E9"/>
    <w:rsid w:val="00CC1B7A"/>
    <w:rsid w:val="00CC3E20"/>
    <w:rsid w:val="00CE2FAD"/>
    <w:rsid w:val="00CE323D"/>
    <w:rsid w:val="00CF20E3"/>
    <w:rsid w:val="00CF3390"/>
    <w:rsid w:val="00CF4702"/>
    <w:rsid w:val="00CF7363"/>
    <w:rsid w:val="00D13BD1"/>
    <w:rsid w:val="00D1577A"/>
    <w:rsid w:val="00D16279"/>
    <w:rsid w:val="00D20165"/>
    <w:rsid w:val="00D267B0"/>
    <w:rsid w:val="00D309CC"/>
    <w:rsid w:val="00D45EE8"/>
    <w:rsid w:val="00D46431"/>
    <w:rsid w:val="00D52122"/>
    <w:rsid w:val="00D53C4A"/>
    <w:rsid w:val="00D554AC"/>
    <w:rsid w:val="00D56A52"/>
    <w:rsid w:val="00D57972"/>
    <w:rsid w:val="00D675A9"/>
    <w:rsid w:val="00D738D6"/>
    <w:rsid w:val="00D741FE"/>
    <w:rsid w:val="00D755EB"/>
    <w:rsid w:val="00D76F33"/>
    <w:rsid w:val="00D76F5B"/>
    <w:rsid w:val="00D87E00"/>
    <w:rsid w:val="00D9134D"/>
    <w:rsid w:val="00D92C98"/>
    <w:rsid w:val="00D933FA"/>
    <w:rsid w:val="00DA2D8C"/>
    <w:rsid w:val="00DA7A03"/>
    <w:rsid w:val="00DB1818"/>
    <w:rsid w:val="00DC309B"/>
    <w:rsid w:val="00DC4DA2"/>
    <w:rsid w:val="00DD33E9"/>
    <w:rsid w:val="00DD4C17"/>
    <w:rsid w:val="00DD6240"/>
    <w:rsid w:val="00DD7DBA"/>
    <w:rsid w:val="00DE10B6"/>
    <w:rsid w:val="00DE1B46"/>
    <w:rsid w:val="00DF2B1F"/>
    <w:rsid w:val="00DF6189"/>
    <w:rsid w:val="00DF62CD"/>
    <w:rsid w:val="00E010F1"/>
    <w:rsid w:val="00E03542"/>
    <w:rsid w:val="00E05730"/>
    <w:rsid w:val="00E05F92"/>
    <w:rsid w:val="00E11265"/>
    <w:rsid w:val="00E12D5A"/>
    <w:rsid w:val="00E14FA8"/>
    <w:rsid w:val="00E16509"/>
    <w:rsid w:val="00E206B9"/>
    <w:rsid w:val="00E22308"/>
    <w:rsid w:val="00E2499B"/>
    <w:rsid w:val="00E255F5"/>
    <w:rsid w:val="00E26690"/>
    <w:rsid w:val="00E3192D"/>
    <w:rsid w:val="00E35EA3"/>
    <w:rsid w:val="00E4417F"/>
    <w:rsid w:val="00E44582"/>
    <w:rsid w:val="00E45A74"/>
    <w:rsid w:val="00E47723"/>
    <w:rsid w:val="00E50039"/>
    <w:rsid w:val="00E52814"/>
    <w:rsid w:val="00E60E2F"/>
    <w:rsid w:val="00E647B0"/>
    <w:rsid w:val="00E64FAA"/>
    <w:rsid w:val="00E65E13"/>
    <w:rsid w:val="00E70C11"/>
    <w:rsid w:val="00E72324"/>
    <w:rsid w:val="00E72ABE"/>
    <w:rsid w:val="00E76A34"/>
    <w:rsid w:val="00E77645"/>
    <w:rsid w:val="00E83883"/>
    <w:rsid w:val="00E86C73"/>
    <w:rsid w:val="00E876FB"/>
    <w:rsid w:val="00EA1A31"/>
    <w:rsid w:val="00EB5B83"/>
    <w:rsid w:val="00EC4A25"/>
    <w:rsid w:val="00ED7253"/>
    <w:rsid w:val="00ED77BD"/>
    <w:rsid w:val="00EE1D43"/>
    <w:rsid w:val="00EE3D6E"/>
    <w:rsid w:val="00EE5AA7"/>
    <w:rsid w:val="00EF0EB0"/>
    <w:rsid w:val="00EF22C6"/>
    <w:rsid w:val="00EF4C60"/>
    <w:rsid w:val="00F025A2"/>
    <w:rsid w:val="00F04712"/>
    <w:rsid w:val="00F04CE1"/>
    <w:rsid w:val="00F21311"/>
    <w:rsid w:val="00F22EC7"/>
    <w:rsid w:val="00F2699A"/>
    <w:rsid w:val="00F30716"/>
    <w:rsid w:val="00F30782"/>
    <w:rsid w:val="00F325C8"/>
    <w:rsid w:val="00F33E74"/>
    <w:rsid w:val="00F47351"/>
    <w:rsid w:val="00F5250F"/>
    <w:rsid w:val="00F62AEB"/>
    <w:rsid w:val="00F653B8"/>
    <w:rsid w:val="00F67EF5"/>
    <w:rsid w:val="00F70647"/>
    <w:rsid w:val="00F84751"/>
    <w:rsid w:val="00F87D10"/>
    <w:rsid w:val="00F90EF5"/>
    <w:rsid w:val="00F92A5A"/>
    <w:rsid w:val="00F97B58"/>
    <w:rsid w:val="00FA0D4A"/>
    <w:rsid w:val="00FA1266"/>
    <w:rsid w:val="00FA462A"/>
    <w:rsid w:val="00FB26B6"/>
    <w:rsid w:val="00FB2F0E"/>
    <w:rsid w:val="00FB3E58"/>
    <w:rsid w:val="00FB49CF"/>
    <w:rsid w:val="00FB652A"/>
    <w:rsid w:val="00FB6835"/>
    <w:rsid w:val="00FC1192"/>
    <w:rsid w:val="00FC4484"/>
    <w:rsid w:val="00FC4E17"/>
    <w:rsid w:val="00FD5D83"/>
    <w:rsid w:val="00FD6204"/>
    <w:rsid w:val="00FE44D7"/>
    <w:rsid w:val="00FF2BE7"/>
    <w:rsid w:val="00FF4EF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5250F"/>
    <w:pPr>
      <w:ind w:left="720"/>
      <w:contextualSpacing/>
    </w:pPr>
  </w:style>
  <w:style w:type="paragraph" w:styleId="NormalWeb">
    <w:name w:val="Normal (Web)"/>
    <w:basedOn w:val="Normal"/>
    <w:uiPriority w:val="99"/>
    <w:unhideWhenUsed/>
    <w:qFormat/>
    <w:rsid w:val="008B0466"/>
    <w:pPr>
      <w:spacing w:before="100" w:beforeAutospacing="1" w:after="100" w:afterAutospacing="1"/>
    </w:pPr>
    <w:rPr>
      <w:rFonts w:eastAsiaTheme="minorEastAsia"/>
      <w:sz w:val="24"/>
      <w:szCs w:val="24"/>
      <w:lang w:val="de-DE"/>
    </w:rPr>
  </w:style>
  <w:style w:type="character" w:customStyle="1" w:styleId="TACChar">
    <w:name w:val="TAC Char"/>
    <w:link w:val="TAC"/>
    <w:qFormat/>
    <w:rsid w:val="0041050A"/>
    <w:rPr>
      <w:rFonts w:ascii="Arial" w:hAnsi="Arial"/>
      <w:sz w:val="18"/>
      <w:lang w:eastAsia="en-US"/>
    </w:rPr>
  </w:style>
  <w:style w:type="character" w:customStyle="1" w:styleId="TAHCar">
    <w:name w:val="TAH Car"/>
    <w:link w:val="TAH"/>
    <w:qFormat/>
    <w:rsid w:val="0041050A"/>
    <w:rPr>
      <w:rFonts w:ascii="Arial" w:hAnsi="Arial"/>
      <w:b/>
      <w:sz w:val="18"/>
      <w:lang w:eastAsia="en-US"/>
    </w:rPr>
  </w:style>
  <w:style w:type="character" w:styleId="FollowedHyperlink">
    <w:name w:val="FollowedHyperlink"/>
    <w:rsid w:val="004C3481"/>
    <w:rPr>
      <w:color w:val="954F72"/>
      <w:u w:val="single"/>
    </w:rPr>
  </w:style>
  <w:style w:type="paragraph" w:styleId="Index2">
    <w:name w:val="index 2"/>
    <w:basedOn w:val="Index1"/>
    <w:rsid w:val="004C3481"/>
    <w:pPr>
      <w:ind w:left="284"/>
    </w:pPr>
  </w:style>
  <w:style w:type="paragraph" w:styleId="Index1">
    <w:name w:val="index 1"/>
    <w:basedOn w:val="Normal"/>
    <w:rsid w:val="004C3481"/>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rsid w:val="004C3481"/>
    <w:pPr>
      <w:ind w:left="851"/>
    </w:pPr>
  </w:style>
  <w:style w:type="character" w:styleId="FootnoteReference">
    <w:name w:val="footnote reference"/>
    <w:rsid w:val="004C3481"/>
    <w:rPr>
      <w:b/>
      <w:position w:val="6"/>
      <w:sz w:val="16"/>
    </w:rPr>
  </w:style>
  <w:style w:type="paragraph" w:styleId="FootnoteText">
    <w:name w:val="footnote text"/>
    <w:basedOn w:val="Normal"/>
    <w:link w:val="FootnoteTextChar"/>
    <w:rsid w:val="004C3481"/>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basedOn w:val="DefaultParagraphFont"/>
    <w:link w:val="FootnoteText"/>
    <w:rsid w:val="004C3481"/>
    <w:rPr>
      <w:rFonts w:eastAsia="MS Mincho"/>
      <w:sz w:val="16"/>
    </w:rPr>
  </w:style>
  <w:style w:type="paragraph" w:styleId="ListBullet2">
    <w:name w:val="List Bullet 2"/>
    <w:basedOn w:val="ListBullet"/>
    <w:rsid w:val="004C3481"/>
    <w:pPr>
      <w:ind w:left="851"/>
    </w:pPr>
  </w:style>
  <w:style w:type="paragraph" w:styleId="ListBullet3">
    <w:name w:val="List Bullet 3"/>
    <w:basedOn w:val="ListBullet2"/>
    <w:rsid w:val="004C3481"/>
    <w:pPr>
      <w:ind w:left="1135"/>
    </w:pPr>
  </w:style>
  <w:style w:type="paragraph" w:styleId="ListNumber">
    <w:name w:val="List Number"/>
    <w:basedOn w:val="List"/>
    <w:rsid w:val="004C3481"/>
  </w:style>
  <w:style w:type="paragraph" w:styleId="List2">
    <w:name w:val="List 2"/>
    <w:basedOn w:val="List"/>
    <w:rsid w:val="004C3481"/>
    <w:pPr>
      <w:ind w:left="851"/>
    </w:pPr>
  </w:style>
  <w:style w:type="paragraph" w:styleId="List3">
    <w:name w:val="List 3"/>
    <w:basedOn w:val="List2"/>
    <w:rsid w:val="004C3481"/>
    <w:pPr>
      <w:ind w:left="1135"/>
    </w:pPr>
  </w:style>
  <w:style w:type="paragraph" w:styleId="List4">
    <w:name w:val="List 4"/>
    <w:basedOn w:val="List3"/>
    <w:rsid w:val="004C3481"/>
    <w:pPr>
      <w:ind w:left="1418"/>
    </w:pPr>
  </w:style>
  <w:style w:type="paragraph" w:styleId="List5">
    <w:name w:val="List 5"/>
    <w:basedOn w:val="List4"/>
    <w:rsid w:val="004C3481"/>
    <w:pPr>
      <w:ind w:left="1702"/>
    </w:pPr>
  </w:style>
  <w:style w:type="paragraph" w:styleId="List">
    <w:name w:val="List"/>
    <w:basedOn w:val="Normal"/>
    <w:rsid w:val="004C3481"/>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rsid w:val="004C3481"/>
  </w:style>
  <w:style w:type="paragraph" w:styleId="ListBullet4">
    <w:name w:val="List Bullet 4"/>
    <w:basedOn w:val="ListBullet3"/>
    <w:rsid w:val="004C3481"/>
    <w:pPr>
      <w:ind w:left="1418"/>
    </w:pPr>
  </w:style>
  <w:style w:type="paragraph" w:styleId="ListBullet5">
    <w:name w:val="List Bullet 5"/>
    <w:basedOn w:val="ListBullet4"/>
    <w:rsid w:val="004C3481"/>
    <w:pPr>
      <w:ind w:left="1702"/>
    </w:pPr>
  </w:style>
  <w:style w:type="paragraph" w:customStyle="1" w:styleId="CRCoverPage">
    <w:name w:val="CR Cover Page"/>
    <w:link w:val="CRCoverPageChar"/>
    <w:rsid w:val="004C3481"/>
    <w:pPr>
      <w:spacing w:after="120"/>
    </w:pPr>
    <w:rPr>
      <w:rFonts w:ascii="Arial" w:eastAsia="Malgun Gothic" w:hAnsi="Arial"/>
      <w:lang w:eastAsia="ko-KR"/>
    </w:rPr>
  </w:style>
  <w:style w:type="character" w:styleId="CommentReference">
    <w:name w:val="annotation reference"/>
    <w:uiPriority w:val="99"/>
    <w:rsid w:val="004C3481"/>
    <w:rPr>
      <w:sz w:val="16"/>
    </w:rPr>
  </w:style>
  <w:style w:type="paragraph" w:styleId="CommentText">
    <w:name w:val="annotation text"/>
    <w:basedOn w:val="Normal"/>
    <w:link w:val="CommentTextChar"/>
    <w:uiPriority w:val="99"/>
    <w:rsid w:val="004C3481"/>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4C3481"/>
    <w:rPr>
      <w:rFonts w:eastAsia="MS Mincho"/>
    </w:rPr>
  </w:style>
  <w:style w:type="paragraph" w:styleId="CommentSubject">
    <w:name w:val="annotation subject"/>
    <w:basedOn w:val="CommentText"/>
    <w:next w:val="CommentText"/>
    <w:link w:val="CommentSubjectChar"/>
    <w:rsid w:val="004C3481"/>
    <w:rPr>
      <w:b/>
      <w:bCs/>
    </w:rPr>
  </w:style>
  <w:style w:type="character" w:customStyle="1" w:styleId="CommentSubjectChar">
    <w:name w:val="Comment Subject Char"/>
    <w:basedOn w:val="CommentTextChar"/>
    <w:link w:val="CommentSubject"/>
    <w:rsid w:val="004C3481"/>
    <w:rPr>
      <w:rFonts w:eastAsia="MS Mincho"/>
      <w:b/>
      <w:bCs/>
    </w:rPr>
  </w:style>
  <w:style w:type="paragraph" w:styleId="DocumentMap">
    <w:name w:val="Document Map"/>
    <w:basedOn w:val="Normal"/>
    <w:link w:val="DocumentMapChar"/>
    <w:rsid w:val="004C3481"/>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rsid w:val="004C3481"/>
    <w:rPr>
      <w:rFonts w:ascii="Tahoma" w:eastAsia="MS Mincho" w:hAnsi="Tahoma"/>
      <w:shd w:val="clear" w:color="auto" w:fill="000080"/>
    </w:rPr>
  </w:style>
  <w:style w:type="character" w:customStyle="1" w:styleId="UnresolvedMention1">
    <w:name w:val="Unresolved Mention1"/>
    <w:uiPriority w:val="99"/>
    <w:semiHidden/>
    <w:unhideWhenUsed/>
    <w:rsid w:val="004C3481"/>
    <w:rPr>
      <w:color w:val="808080"/>
      <w:shd w:val="clear" w:color="auto" w:fill="E6E6E6"/>
    </w:rPr>
  </w:style>
  <w:style w:type="character" w:customStyle="1" w:styleId="THChar">
    <w:name w:val="TH Char"/>
    <w:link w:val="TH"/>
    <w:qFormat/>
    <w:rsid w:val="004C3481"/>
    <w:rPr>
      <w:rFonts w:ascii="Arial" w:hAnsi="Arial"/>
      <w:b/>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C3481"/>
    <w:rPr>
      <w:rFonts w:ascii="Arial" w:hAnsi="Arial"/>
      <w:sz w:val="28"/>
      <w:lang w:eastAsia="en-US"/>
    </w:rPr>
  </w:style>
  <w:style w:type="character" w:customStyle="1" w:styleId="NOChar">
    <w:name w:val="NO Char"/>
    <w:link w:val="NO"/>
    <w:qFormat/>
    <w:rsid w:val="004C3481"/>
    <w:rPr>
      <w:lang w:eastAsia="en-US"/>
    </w:rPr>
  </w:style>
  <w:style w:type="character" w:customStyle="1" w:styleId="TANChar">
    <w:name w:val="TAN Char"/>
    <w:link w:val="TAN"/>
    <w:qFormat/>
    <w:rsid w:val="004C3481"/>
    <w:rPr>
      <w:rFonts w:ascii="Arial" w:hAnsi="Arial"/>
      <w:sz w:val="18"/>
      <w:lang w:eastAsia="en-US"/>
    </w:rPr>
  </w:style>
  <w:style w:type="character" w:customStyle="1" w:styleId="B1Char">
    <w:name w:val="B1 Char"/>
    <w:link w:val="B1"/>
    <w:locked/>
    <w:rsid w:val="004C3481"/>
    <w:rPr>
      <w:lang w:eastAsia="en-US"/>
    </w:rPr>
  </w:style>
  <w:style w:type="character" w:customStyle="1" w:styleId="B2Char">
    <w:name w:val="B2 Char"/>
    <w:link w:val="B2"/>
    <w:locked/>
    <w:rsid w:val="004C3481"/>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3481"/>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C3481"/>
    <w:rPr>
      <w:rFonts w:ascii="Arial" w:hAnsi="Arial"/>
      <w:sz w:val="22"/>
      <w:lang w:eastAsia="en-US"/>
    </w:rPr>
  </w:style>
  <w:style w:type="character" w:customStyle="1" w:styleId="TALCar">
    <w:name w:val="TAL Car"/>
    <w:link w:val="TAL"/>
    <w:qFormat/>
    <w:rsid w:val="004C3481"/>
    <w:rPr>
      <w:rFonts w:ascii="Arial" w:hAnsi="Arial"/>
      <w:sz w:val="18"/>
      <w:lang w:eastAsia="en-US"/>
    </w:rPr>
  </w:style>
  <w:style w:type="character" w:styleId="SubtleReference">
    <w:name w:val="Subtle Reference"/>
    <w:uiPriority w:val="31"/>
    <w:qFormat/>
    <w:rsid w:val="004C3481"/>
    <w:rPr>
      <w:smallCaps/>
      <w:color w:val="5A5A5A"/>
    </w:rPr>
  </w:style>
  <w:style w:type="character" w:customStyle="1" w:styleId="TFChar">
    <w:name w:val="TF Char"/>
    <w:link w:val="TF"/>
    <w:rsid w:val="004C3481"/>
    <w:rPr>
      <w:rFonts w:ascii="Arial" w:hAnsi="Arial"/>
      <w:b/>
      <w:lang w:eastAsia="en-US"/>
    </w:rPr>
  </w:style>
  <w:style w:type="character" w:customStyle="1" w:styleId="TALChar">
    <w:name w:val="TAL Char"/>
    <w:qFormat/>
    <w:locked/>
    <w:rsid w:val="004C34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3481"/>
    <w:rPr>
      <w:rFonts w:ascii="Arial" w:hAnsi="Arial"/>
      <w:sz w:val="32"/>
      <w:lang w:eastAsia="en-US"/>
    </w:rPr>
  </w:style>
  <w:style w:type="paragraph" w:customStyle="1" w:styleId="TableText">
    <w:name w:val="TableText"/>
    <w:basedOn w:val="Normal"/>
    <w:qFormat/>
    <w:rsid w:val="00CC3E20"/>
    <w:pPr>
      <w:keepNext/>
      <w:keepLines/>
      <w:overflowPunct w:val="0"/>
      <w:autoSpaceDE w:val="0"/>
      <w:autoSpaceDN w:val="0"/>
      <w:adjustRightInd w:val="0"/>
      <w:snapToGrid w:val="0"/>
      <w:jc w:val="center"/>
      <w:textAlignment w:val="baseline"/>
    </w:pPr>
    <w:rPr>
      <w:rFonts w:eastAsia="SimSun"/>
      <w:kern w:val="2"/>
      <w:lang w:eastAsia="en-GB"/>
    </w:rPr>
  </w:style>
  <w:style w:type="character" w:customStyle="1" w:styleId="EXChar">
    <w:name w:val="EX Char"/>
    <w:link w:val="EX"/>
    <w:locked/>
    <w:rsid w:val="004C3481"/>
    <w:rPr>
      <w:lang w:eastAsia="en-US"/>
    </w:rPr>
  </w:style>
  <w:style w:type="paragraph" w:customStyle="1" w:styleId="FL">
    <w:name w:val="FL"/>
    <w:basedOn w:val="Normal"/>
    <w:rsid w:val="004C348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C348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C348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4C3481"/>
    <w:rPr>
      <w:rFonts w:ascii="Arial" w:eastAsia="Malgun Gothic" w:hAnsi="Arial"/>
      <w:lang w:eastAsia="ko-KR"/>
    </w:rPr>
  </w:style>
  <w:style w:type="paragraph" w:styleId="TOCHeading">
    <w:name w:val="TOC Heading"/>
    <w:basedOn w:val="Heading1"/>
    <w:next w:val="Normal"/>
    <w:uiPriority w:val="39"/>
    <w:unhideWhenUsed/>
    <w:qFormat/>
    <w:rsid w:val="004C3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4C3481"/>
    <w:rPr>
      <w:noProof/>
      <w:lang w:eastAsia="en-US"/>
    </w:rPr>
  </w:style>
  <w:style w:type="numbering" w:customStyle="1" w:styleId="NoList1">
    <w:name w:val="No List1"/>
    <w:next w:val="NoList"/>
    <w:uiPriority w:val="99"/>
    <w:semiHidden/>
    <w:unhideWhenUsed/>
    <w:rsid w:val="004C348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C3481"/>
    <w:rPr>
      <w:rFonts w:ascii="Arial" w:hAnsi="Arial"/>
      <w:sz w:val="36"/>
      <w:lang w:eastAsia="en-US"/>
    </w:rPr>
  </w:style>
  <w:style w:type="character" w:customStyle="1" w:styleId="Heading6Char">
    <w:name w:val="Heading 6 Char"/>
    <w:aliases w:val="T1 Char,Header 6 Char"/>
    <w:link w:val="Heading6"/>
    <w:rsid w:val="004C3481"/>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C3481"/>
    <w:rPr>
      <w:rFonts w:ascii="Arial" w:hAnsi="Arial"/>
      <w:b/>
      <w:noProof/>
      <w:sz w:val="18"/>
      <w:lang w:eastAsia="ja-JP"/>
    </w:rPr>
  </w:style>
  <w:style w:type="character" w:customStyle="1" w:styleId="H6Char">
    <w:name w:val="H6 Char"/>
    <w:link w:val="H6"/>
    <w:rsid w:val="004C3481"/>
    <w:rPr>
      <w:rFonts w:ascii="Arial" w:hAnsi="Arial"/>
      <w:lang w:eastAsia="en-US"/>
    </w:rPr>
  </w:style>
  <w:style w:type="character" w:customStyle="1" w:styleId="fontstyle01">
    <w:name w:val="fontstyle01"/>
    <w:rsid w:val="004C348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481"/>
  </w:style>
  <w:style w:type="numbering" w:customStyle="1" w:styleId="NoList3">
    <w:name w:val="No List3"/>
    <w:next w:val="NoList"/>
    <w:uiPriority w:val="99"/>
    <w:semiHidden/>
    <w:unhideWhenUsed/>
    <w:rsid w:val="004C3481"/>
  </w:style>
  <w:style w:type="numbering" w:customStyle="1" w:styleId="NoList4">
    <w:name w:val="No List4"/>
    <w:next w:val="NoList"/>
    <w:uiPriority w:val="99"/>
    <w:semiHidden/>
    <w:unhideWhenUsed/>
    <w:rsid w:val="004C3481"/>
  </w:style>
  <w:style w:type="table" w:customStyle="1" w:styleId="TableGrid1">
    <w:name w:val="Table Grid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4C3481"/>
    <w:rPr>
      <w:rFonts w:ascii="Arial" w:hAnsi="Arial"/>
      <w:b/>
      <w:i/>
      <w:noProof/>
      <w:sz w:val="18"/>
      <w:lang w:eastAsia="ja-JP"/>
    </w:rPr>
  </w:style>
  <w:style w:type="numbering" w:customStyle="1" w:styleId="NoList5">
    <w:name w:val="No List5"/>
    <w:next w:val="NoList"/>
    <w:uiPriority w:val="99"/>
    <w:semiHidden/>
    <w:unhideWhenUsed/>
    <w:rsid w:val="004C3481"/>
  </w:style>
  <w:style w:type="character" w:customStyle="1" w:styleId="Heading7Char">
    <w:name w:val="Heading 7 Char"/>
    <w:link w:val="Heading7"/>
    <w:rsid w:val="004C3481"/>
    <w:rPr>
      <w:rFonts w:ascii="Arial" w:hAnsi="Arial"/>
      <w:lang w:eastAsia="en-US"/>
    </w:rPr>
  </w:style>
  <w:style w:type="character" w:customStyle="1" w:styleId="Heading8Char">
    <w:name w:val="Heading 8 Char"/>
    <w:link w:val="Heading8"/>
    <w:rsid w:val="004C3481"/>
    <w:rPr>
      <w:rFonts w:ascii="Arial" w:hAnsi="Arial"/>
      <w:sz w:val="36"/>
      <w:lang w:eastAsia="en-US"/>
    </w:rPr>
  </w:style>
  <w:style w:type="character" w:customStyle="1" w:styleId="Heading9Char">
    <w:name w:val="Heading 9 Char"/>
    <w:link w:val="Heading9"/>
    <w:rsid w:val="004C3481"/>
    <w:rPr>
      <w:rFonts w:ascii="Arial" w:hAnsi="Arial"/>
      <w:sz w:val="36"/>
      <w:lang w:eastAsia="en-US"/>
    </w:rPr>
  </w:style>
  <w:style w:type="table" w:customStyle="1" w:styleId="TableGrid2">
    <w:name w:val="Table Grid2"/>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C3481"/>
  </w:style>
  <w:style w:type="numbering" w:customStyle="1" w:styleId="NoList21">
    <w:name w:val="No List21"/>
    <w:next w:val="NoList"/>
    <w:uiPriority w:val="99"/>
    <w:semiHidden/>
    <w:unhideWhenUsed/>
    <w:rsid w:val="004C3481"/>
  </w:style>
  <w:style w:type="numbering" w:customStyle="1" w:styleId="NoList31">
    <w:name w:val="No List31"/>
    <w:next w:val="NoList"/>
    <w:uiPriority w:val="99"/>
    <w:semiHidden/>
    <w:unhideWhenUsed/>
    <w:rsid w:val="004C3481"/>
  </w:style>
  <w:style w:type="numbering" w:customStyle="1" w:styleId="NoList41">
    <w:name w:val="No List41"/>
    <w:next w:val="NoList"/>
    <w:uiPriority w:val="99"/>
    <w:semiHidden/>
    <w:unhideWhenUsed/>
    <w:rsid w:val="004C3481"/>
  </w:style>
  <w:style w:type="table" w:customStyle="1" w:styleId="TableGrid11">
    <w:name w:val="Table Grid1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481"/>
  </w:style>
  <w:style w:type="table" w:customStyle="1" w:styleId="TableGrid3">
    <w:name w:val="Table Grid3"/>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C3481"/>
    <w:rPr>
      <w:i/>
      <w:iCs/>
    </w:rPr>
  </w:style>
  <w:style w:type="paragraph" w:customStyle="1" w:styleId="tdoc-header">
    <w:name w:val="tdoc-header"/>
    <w:rsid w:val="004C3481"/>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481"/>
    <w:rPr>
      <w:rFonts w:ascii="Arial" w:hAnsi="Arial"/>
      <w:sz w:val="32"/>
      <w:lang w:val="en-GB" w:eastAsia="en-US" w:bidi="ar-SA"/>
    </w:rPr>
  </w:style>
  <w:style w:type="paragraph" w:customStyle="1" w:styleId="References">
    <w:name w:val="References"/>
    <w:basedOn w:val="Normal"/>
    <w:rsid w:val="004C3481"/>
    <w:pPr>
      <w:numPr>
        <w:numId w:val="20"/>
      </w:numPr>
      <w:autoSpaceDE w:val="0"/>
      <w:autoSpaceDN w:val="0"/>
      <w:snapToGrid w:val="0"/>
      <w:spacing w:after="60"/>
      <w:jc w:val="both"/>
    </w:pPr>
    <w:rPr>
      <w:rFonts w:eastAsia="SimSun"/>
      <w:szCs w:val="16"/>
      <w:lang w:val="en-US"/>
    </w:rPr>
  </w:style>
  <w:style w:type="paragraph" w:customStyle="1" w:styleId="Default">
    <w:name w:val="Default"/>
    <w:rsid w:val="004C3481"/>
    <w:pPr>
      <w:autoSpaceDE w:val="0"/>
      <w:autoSpaceDN w:val="0"/>
      <w:adjustRightInd w:val="0"/>
    </w:pPr>
    <w:rPr>
      <w:rFonts w:ascii="Arial" w:eastAsia="SimSun" w:hAnsi="Arial" w:cs="Arial"/>
      <w:color w:val="000000"/>
      <w:sz w:val="24"/>
      <w:szCs w:val="24"/>
    </w:rPr>
  </w:style>
  <w:style w:type="paragraph" w:styleId="BodyText">
    <w:name w:val="Body Text"/>
    <w:basedOn w:val="Normal"/>
    <w:link w:val="BodyTextChar"/>
    <w:rsid w:val="004C3481"/>
    <w:rPr>
      <w:rFonts w:ascii="CG Times (WN)" w:eastAsia="MS Mincho" w:hAnsi="CG Times (WN)"/>
    </w:rPr>
  </w:style>
  <w:style w:type="character" w:customStyle="1" w:styleId="BodyTextChar">
    <w:name w:val="Body Text Char"/>
    <w:basedOn w:val="DefaultParagraphFont"/>
    <w:link w:val="BodyText"/>
    <w:rsid w:val="004C3481"/>
    <w:rPr>
      <w:rFonts w:ascii="CG Times (WN)" w:eastAsia="MS Mincho" w:hAnsi="CG Times (WN)"/>
      <w:lang w:eastAsia="en-US"/>
    </w:rPr>
  </w:style>
  <w:style w:type="character" w:customStyle="1" w:styleId="font4">
    <w:name w:val="font4"/>
    <w:basedOn w:val="DefaultParagraphFont"/>
    <w:qFormat/>
    <w:rsid w:val="004C3481"/>
  </w:style>
  <w:style w:type="paragraph" w:styleId="BalloonText">
    <w:name w:val="Balloon Text"/>
    <w:basedOn w:val="Normal"/>
    <w:link w:val="BalloonTextChar"/>
    <w:semiHidden/>
    <w:unhideWhenUsed/>
    <w:rsid w:val="00B36631"/>
    <w:pPr>
      <w:spacing w:after="0"/>
    </w:pPr>
    <w:rPr>
      <w:sz w:val="18"/>
      <w:szCs w:val="18"/>
    </w:rPr>
  </w:style>
  <w:style w:type="character" w:customStyle="1" w:styleId="BalloonTextChar">
    <w:name w:val="Balloon Text Char"/>
    <w:basedOn w:val="DefaultParagraphFont"/>
    <w:link w:val="BalloonText"/>
    <w:semiHidden/>
    <w:rsid w:val="00B36631"/>
    <w:rPr>
      <w:sz w:val="18"/>
      <w:szCs w:val="18"/>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5F3637"/>
    <w:rPr>
      <w:lang w:eastAsia="en-US"/>
    </w:rPr>
  </w:style>
  <w:style w:type="paragraph" w:customStyle="1" w:styleId="Doc-title">
    <w:name w:val="Doc-title"/>
    <w:basedOn w:val="Normal"/>
    <w:next w:val="Doc-text2"/>
    <w:link w:val="Doc-titleChar"/>
    <w:qFormat/>
    <w:rsid w:val="002C4DA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C4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C4DA9"/>
    <w:rPr>
      <w:rFonts w:ascii="Arial" w:eastAsia="MS Mincho" w:hAnsi="Arial"/>
      <w:szCs w:val="24"/>
    </w:rPr>
  </w:style>
  <w:style w:type="character" w:customStyle="1" w:styleId="Doc-titleChar">
    <w:name w:val="Doc-title Char"/>
    <w:link w:val="Doc-title"/>
    <w:qFormat/>
    <w:rsid w:val="002C4DA9"/>
    <w:rPr>
      <w:rFonts w:ascii="Arial" w:eastAsia="MS Mincho" w:hAnsi="Arial"/>
      <w:noProof/>
      <w:szCs w:val="24"/>
    </w:rPr>
  </w:style>
  <w:style w:type="paragraph" w:customStyle="1" w:styleId="Comments">
    <w:name w:val="Comments"/>
    <w:basedOn w:val="Normal"/>
    <w:link w:val="CommentsChar"/>
    <w:qFormat/>
    <w:rsid w:val="002C4DA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C4DA9"/>
    <w:rPr>
      <w:rFonts w:ascii="Arial" w:eastAsia="MS Mincho" w:hAnsi="Arial"/>
      <w:i/>
      <w:noProof/>
      <w:sz w:val="18"/>
      <w:szCs w:val="24"/>
    </w:rPr>
  </w:style>
  <w:style w:type="paragraph" w:customStyle="1" w:styleId="Agreement">
    <w:name w:val="Agreement"/>
    <w:basedOn w:val="Normal"/>
    <w:next w:val="Doc-text2"/>
    <w:uiPriority w:val="99"/>
    <w:qFormat/>
    <w:rsid w:val="002C4DA9"/>
    <w:pPr>
      <w:numPr>
        <w:numId w:val="23"/>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C4DA9"/>
    <w:pPr>
      <w:numPr>
        <w:numId w:val="24"/>
      </w:numPr>
      <w:spacing w:before="40" w:after="0"/>
    </w:pPr>
    <w:rPr>
      <w:rFonts w:ascii="Arial" w:eastAsia="MS Mincho" w:hAnsi="Arial"/>
      <w:b/>
      <w:szCs w:val="24"/>
      <w:lang w:eastAsia="en-GB"/>
    </w:rPr>
  </w:style>
  <w:style w:type="character" w:customStyle="1" w:styleId="EmailDiscussionChar">
    <w:name w:val="EmailDiscussion Char"/>
    <w:link w:val="EmailDiscussion"/>
    <w:rsid w:val="002C4DA9"/>
    <w:rPr>
      <w:rFonts w:ascii="Arial" w:eastAsia="MS Mincho" w:hAnsi="Arial"/>
      <w:b/>
      <w:szCs w:val="24"/>
    </w:rPr>
  </w:style>
  <w:style w:type="paragraph" w:customStyle="1" w:styleId="EmailDiscussion2">
    <w:name w:val="EmailDiscussion2"/>
    <w:basedOn w:val="Doc-text2"/>
    <w:uiPriority w:val="99"/>
    <w:qFormat/>
    <w:rsid w:val="002C4DA9"/>
  </w:style>
  <w:style w:type="paragraph" w:customStyle="1" w:styleId="BoldComments">
    <w:name w:val="Bold Comments"/>
    <w:basedOn w:val="Normal"/>
    <w:link w:val="BoldCommentsChar"/>
    <w:qFormat/>
    <w:rsid w:val="002C4DA9"/>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2C4DA9"/>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828611">
      <w:bodyDiv w:val="1"/>
      <w:marLeft w:val="0"/>
      <w:marRight w:val="0"/>
      <w:marTop w:val="0"/>
      <w:marBottom w:val="0"/>
      <w:divBdr>
        <w:top w:val="none" w:sz="0" w:space="0" w:color="auto"/>
        <w:left w:val="none" w:sz="0" w:space="0" w:color="auto"/>
        <w:bottom w:val="none" w:sz="0" w:space="0" w:color="auto"/>
        <w:right w:val="none" w:sz="0" w:space="0" w:color="auto"/>
      </w:divBdr>
      <w:divsChild>
        <w:div w:id="2076704841">
          <w:marLeft w:val="0"/>
          <w:marRight w:val="0"/>
          <w:marTop w:val="0"/>
          <w:marBottom w:val="0"/>
          <w:divBdr>
            <w:top w:val="none" w:sz="0" w:space="0" w:color="auto"/>
            <w:left w:val="none" w:sz="0" w:space="0" w:color="auto"/>
            <w:bottom w:val="none" w:sz="0" w:space="0" w:color="auto"/>
            <w:right w:val="none" w:sz="0" w:space="0" w:color="auto"/>
          </w:divBdr>
        </w:div>
        <w:div w:id="1995253367">
          <w:marLeft w:val="0"/>
          <w:marRight w:val="0"/>
          <w:marTop w:val="0"/>
          <w:marBottom w:val="0"/>
          <w:divBdr>
            <w:top w:val="none" w:sz="0" w:space="0" w:color="auto"/>
            <w:left w:val="none" w:sz="0" w:space="0" w:color="auto"/>
            <w:bottom w:val="none" w:sz="0" w:space="0" w:color="auto"/>
            <w:right w:val="none" w:sz="0" w:space="0" w:color="auto"/>
          </w:divBdr>
        </w:div>
        <w:div w:id="812720877">
          <w:marLeft w:val="0"/>
          <w:marRight w:val="0"/>
          <w:marTop w:val="0"/>
          <w:marBottom w:val="0"/>
          <w:divBdr>
            <w:top w:val="none" w:sz="0" w:space="0" w:color="auto"/>
            <w:left w:val="none" w:sz="0" w:space="0" w:color="auto"/>
            <w:bottom w:val="none" w:sz="0" w:space="0" w:color="auto"/>
            <w:right w:val="none" w:sz="0" w:space="0" w:color="auto"/>
          </w:divBdr>
        </w:div>
        <w:div w:id="1857185583">
          <w:marLeft w:val="0"/>
          <w:marRight w:val="0"/>
          <w:marTop w:val="0"/>
          <w:marBottom w:val="0"/>
          <w:divBdr>
            <w:top w:val="none" w:sz="0" w:space="0" w:color="auto"/>
            <w:left w:val="none" w:sz="0" w:space="0" w:color="auto"/>
            <w:bottom w:val="none" w:sz="0" w:space="0" w:color="auto"/>
            <w:right w:val="none" w:sz="0" w:space="0" w:color="auto"/>
          </w:divBdr>
        </w:div>
        <w:div w:id="294141620">
          <w:marLeft w:val="0"/>
          <w:marRight w:val="0"/>
          <w:marTop w:val="0"/>
          <w:marBottom w:val="0"/>
          <w:divBdr>
            <w:top w:val="none" w:sz="0" w:space="0" w:color="auto"/>
            <w:left w:val="none" w:sz="0" w:space="0" w:color="auto"/>
            <w:bottom w:val="none" w:sz="0" w:space="0" w:color="auto"/>
            <w:right w:val="none" w:sz="0" w:space="0" w:color="auto"/>
          </w:divBdr>
        </w:div>
        <w:div w:id="542399611">
          <w:marLeft w:val="0"/>
          <w:marRight w:val="0"/>
          <w:marTop w:val="0"/>
          <w:marBottom w:val="0"/>
          <w:divBdr>
            <w:top w:val="none" w:sz="0" w:space="0" w:color="auto"/>
            <w:left w:val="none" w:sz="0" w:space="0" w:color="auto"/>
            <w:bottom w:val="none" w:sz="0" w:space="0" w:color="auto"/>
            <w:right w:val="none" w:sz="0" w:space="0" w:color="auto"/>
          </w:divBdr>
        </w:div>
        <w:div w:id="1844540521">
          <w:marLeft w:val="0"/>
          <w:marRight w:val="0"/>
          <w:marTop w:val="0"/>
          <w:marBottom w:val="0"/>
          <w:divBdr>
            <w:top w:val="none" w:sz="0" w:space="0" w:color="auto"/>
            <w:left w:val="none" w:sz="0" w:space="0" w:color="auto"/>
            <w:bottom w:val="none" w:sz="0" w:space="0" w:color="auto"/>
            <w:right w:val="none" w:sz="0" w:space="0" w:color="auto"/>
          </w:divBdr>
        </w:div>
        <w:div w:id="503324883">
          <w:marLeft w:val="0"/>
          <w:marRight w:val="0"/>
          <w:marTop w:val="0"/>
          <w:marBottom w:val="0"/>
          <w:divBdr>
            <w:top w:val="none" w:sz="0" w:space="0" w:color="auto"/>
            <w:left w:val="none" w:sz="0" w:space="0" w:color="auto"/>
            <w:bottom w:val="none" w:sz="0" w:space="0" w:color="auto"/>
            <w:right w:val="none" w:sz="0" w:space="0" w:color="auto"/>
          </w:divBdr>
        </w:div>
        <w:div w:id="1225288352">
          <w:marLeft w:val="0"/>
          <w:marRight w:val="0"/>
          <w:marTop w:val="0"/>
          <w:marBottom w:val="0"/>
          <w:divBdr>
            <w:top w:val="none" w:sz="0" w:space="0" w:color="auto"/>
            <w:left w:val="none" w:sz="0" w:space="0" w:color="auto"/>
            <w:bottom w:val="none" w:sz="0" w:space="0" w:color="auto"/>
            <w:right w:val="none" w:sz="0" w:space="0" w:color="auto"/>
          </w:divBdr>
        </w:div>
        <w:div w:id="531070628">
          <w:marLeft w:val="0"/>
          <w:marRight w:val="0"/>
          <w:marTop w:val="0"/>
          <w:marBottom w:val="0"/>
          <w:divBdr>
            <w:top w:val="none" w:sz="0" w:space="0" w:color="auto"/>
            <w:left w:val="none" w:sz="0" w:space="0" w:color="auto"/>
            <w:bottom w:val="none" w:sz="0" w:space="0" w:color="auto"/>
            <w:right w:val="none" w:sz="0" w:space="0" w:color="auto"/>
          </w:divBdr>
        </w:div>
        <w:div w:id="395974356">
          <w:marLeft w:val="0"/>
          <w:marRight w:val="0"/>
          <w:marTop w:val="0"/>
          <w:marBottom w:val="0"/>
          <w:divBdr>
            <w:top w:val="none" w:sz="0" w:space="0" w:color="auto"/>
            <w:left w:val="none" w:sz="0" w:space="0" w:color="auto"/>
            <w:bottom w:val="none" w:sz="0" w:space="0" w:color="auto"/>
            <w:right w:val="none" w:sz="0" w:space="0" w:color="auto"/>
          </w:divBdr>
        </w:div>
        <w:div w:id="1465543952">
          <w:marLeft w:val="0"/>
          <w:marRight w:val="0"/>
          <w:marTop w:val="0"/>
          <w:marBottom w:val="0"/>
          <w:divBdr>
            <w:top w:val="none" w:sz="0" w:space="0" w:color="auto"/>
            <w:left w:val="none" w:sz="0" w:space="0" w:color="auto"/>
            <w:bottom w:val="none" w:sz="0" w:space="0" w:color="auto"/>
            <w:right w:val="none" w:sz="0" w:space="0" w:color="auto"/>
          </w:divBdr>
        </w:div>
        <w:div w:id="498346286">
          <w:marLeft w:val="0"/>
          <w:marRight w:val="0"/>
          <w:marTop w:val="0"/>
          <w:marBottom w:val="0"/>
          <w:divBdr>
            <w:top w:val="none" w:sz="0" w:space="0" w:color="auto"/>
            <w:left w:val="none" w:sz="0" w:space="0" w:color="auto"/>
            <w:bottom w:val="none" w:sz="0" w:space="0" w:color="auto"/>
            <w:right w:val="none" w:sz="0" w:space="0" w:color="auto"/>
          </w:divBdr>
        </w:div>
        <w:div w:id="1887600282">
          <w:marLeft w:val="0"/>
          <w:marRight w:val="0"/>
          <w:marTop w:val="0"/>
          <w:marBottom w:val="0"/>
          <w:divBdr>
            <w:top w:val="none" w:sz="0" w:space="0" w:color="auto"/>
            <w:left w:val="none" w:sz="0" w:space="0" w:color="auto"/>
            <w:bottom w:val="none" w:sz="0" w:space="0" w:color="auto"/>
            <w:right w:val="none" w:sz="0" w:space="0" w:color="auto"/>
          </w:divBdr>
        </w:div>
        <w:div w:id="224603997">
          <w:marLeft w:val="0"/>
          <w:marRight w:val="0"/>
          <w:marTop w:val="0"/>
          <w:marBottom w:val="0"/>
          <w:divBdr>
            <w:top w:val="none" w:sz="0" w:space="0" w:color="auto"/>
            <w:left w:val="none" w:sz="0" w:space="0" w:color="auto"/>
            <w:bottom w:val="none" w:sz="0" w:space="0" w:color="auto"/>
            <w:right w:val="none" w:sz="0" w:space="0" w:color="auto"/>
          </w:divBdr>
        </w:div>
      </w:divsChild>
    </w:div>
    <w:div w:id="208733682">
      <w:bodyDiv w:val="1"/>
      <w:marLeft w:val="0"/>
      <w:marRight w:val="0"/>
      <w:marTop w:val="0"/>
      <w:marBottom w:val="0"/>
      <w:divBdr>
        <w:top w:val="none" w:sz="0" w:space="0" w:color="auto"/>
        <w:left w:val="none" w:sz="0" w:space="0" w:color="auto"/>
        <w:bottom w:val="none" w:sz="0" w:space="0" w:color="auto"/>
        <w:right w:val="none" w:sz="0" w:space="0" w:color="auto"/>
      </w:divBdr>
      <w:divsChild>
        <w:div w:id="1423800752">
          <w:marLeft w:val="0"/>
          <w:marRight w:val="0"/>
          <w:marTop w:val="0"/>
          <w:marBottom w:val="0"/>
          <w:divBdr>
            <w:top w:val="none" w:sz="0" w:space="0" w:color="auto"/>
            <w:left w:val="none" w:sz="0" w:space="0" w:color="auto"/>
            <w:bottom w:val="none" w:sz="0" w:space="0" w:color="auto"/>
            <w:right w:val="none" w:sz="0" w:space="0" w:color="auto"/>
          </w:divBdr>
          <w:divsChild>
            <w:div w:id="1952785506">
              <w:marLeft w:val="0"/>
              <w:marRight w:val="0"/>
              <w:marTop w:val="0"/>
              <w:marBottom w:val="0"/>
              <w:divBdr>
                <w:top w:val="none" w:sz="0" w:space="0" w:color="auto"/>
                <w:left w:val="none" w:sz="0" w:space="0" w:color="auto"/>
                <w:bottom w:val="none" w:sz="0" w:space="0" w:color="auto"/>
                <w:right w:val="none" w:sz="0" w:space="0" w:color="auto"/>
              </w:divBdr>
              <w:divsChild>
                <w:div w:id="102914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714561">
      <w:bodyDiv w:val="1"/>
      <w:marLeft w:val="0"/>
      <w:marRight w:val="0"/>
      <w:marTop w:val="0"/>
      <w:marBottom w:val="0"/>
      <w:divBdr>
        <w:top w:val="none" w:sz="0" w:space="0" w:color="auto"/>
        <w:left w:val="none" w:sz="0" w:space="0" w:color="auto"/>
        <w:bottom w:val="none" w:sz="0" w:space="0" w:color="auto"/>
        <w:right w:val="none" w:sz="0" w:space="0" w:color="auto"/>
      </w:divBdr>
    </w:div>
    <w:div w:id="352389314">
      <w:bodyDiv w:val="1"/>
      <w:marLeft w:val="0"/>
      <w:marRight w:val="0"/>
      <w:marTop w:val="0"/>
      <w:marBottom w:val="0"/>
      <w:divBdr>
        <w:top w:val="none" w:sz="0" w:space="0" w:color="auto"/>
        <w:left w:val="none" w:sz="0" w:space="0" w:color="auto"/>
        <w:bottom w:val="none" w:sz="0" w:space="0" w:color="auto"/>
        <w:right w:val="none" w:sz="0" w:space="0" w:color="auto"/>
      </w:divBdr>
    </w:div>
    <w:div w:id="891421868">
      <w:bodyDiv w:val="1"/>
      <w:marLeft w:val="0"/>
      <w:marRight w:val="0"/>
      <w:marTop w:val="0"/>
      <w:marBottom w:val="0"/>
      <w:divBdr>
        <w:top w:val="none" w:sz="0" w:space="0" w:color="auto"/>
        <w:left w:val="none" w:sz="0" w:space="0" w:color="auto"/>
        <w:bottom w:val="none" w:sz="0" w:space="0" w:color="auto"/>
        <w:right w:val="none" w:sz="0" w:space="0" w:color="auto"/>
      </w:divBdr>
      <w:divsChild>
        <w:div w:id="1673527789">
          <w:marLeft w:val="0"/>
          <w:marRight w:val="0"/>
          <w:marTop w:val="0"/>
          <w:marBottom w:val="0"/>
          <w:divBdr>
            <w:top w:val="none" w:sz="0" w:space="0" w:color="auto"/>
            <w:left w:val="none" w:sz="0" w:space="0" w:color="auto"/>
            <w:bottom w:val="none" w:sz="0" w:space="0" w:color="auto"/>
            <w:right w:val="none" w:sz="0" w:space="0" w:color="auto"/>
          </w:divBdr>
        </w:div>
        <w:div w:id="2040473015">
          <w:marLeft w:val="0"/>
          <w:marRight w:val="0"/>
          <w:marTop w:val="0"/>
          <w:marBottom w:val="0"/>
          <w:divBdr>
            <w:top w:val="none" w:sz="0" w:space="0" w:color="auto"/>
            <w:left w:val="none" w:sz="0" w:space="0" w:color="auto"/>
            <w:bottom w:val="none" w:sz="0" w:space="0" w:color="auto"/>
            <w:right w:val="none" w:sz="0" w:space="0" w:color="auto"/>
          </w:divBdr>
        </w:div>
        <w:div w:id="1775587514">
          <w:marLeft w:val="0"/>
          <w:marRight w:val="0"/>
          <w:marTop w:val="0"/>
          <w:marBottom w:val="0"/>
          <w:divBdr>
            <w:top w:val="none" w:sz="0" w:space="0" w:color="auto"/>
            <w:left w:val="none" w:sz="0" w:space="0" w:color="auto"/>
            <w:bottom w:val="none" w:sz="0" w:space="0" w:color="auto"/>
            <w:right w:val="none" w:sz="0" w:space="0" w:color="auto"/>
          </w:divBdr>
        </w:div>
        <w:div w:id="406802502">
          <w:marLeft w:val="0"/>
          <w:marRight w:val="0"/>
          <w:marTop w:val="0"/>
          <w:marBottom w:val="0"/>
          <w:divBdr>
            <w:top w:val="none" w:sz="0" w:space="0" w:color="auto"/>
            <w:left w:val="none" w:sz="0" w:space="0" w:color="auto"/>
            <w:bottom w:val="none" w:sz="0" w:space="0" w:color="auto"/>
            <w:right w:val="none" w:sz="0" w:space="0" w:color="auto"/>
          </w:divBdr>
        </w:div>
        <w:div w:id="702439625">
          <w:marLeft w:val="0"/>
          <w:marRight w:val="0"/>
          <w:marTop w:val="0"/>
          <w:marBottom w:val="0"/>
          <w:divBdr>
            <w:top w:val="none" w:sz="0" w:space="0" w:color="auto"/>
            <w:left w:val="none" w:sz="0" w:space="0" w:color="auto"/>
            <w:bottom w:val="none" w:sz="0" w:space="0" w:color="auto"/>
            <w:right w:val="none" w:sz="0" w:space="0" w:color="auto"/>
          </w:divBdr>
        </w:div>
        <w:div w:id="836925053">
          <w:marLeft w:val="0"/>
          <w:marRight w:val="0"/>
          <w:marTop w:val="0"/>
          <w:marBottom w:val="0"/>
          <w:divBdr>
            <w:top w:val="none" w:sz="0" w:space="0" w:color="auto"/>
            <w:left w:val="none" w:sz="0" w:space="0" w:color="auto"/>
            <w:bottom w:val="none" w:sz="0" w:space="0" w:color="auto"/>
            <w:right w:val="none" w:sz="0" w:space="0" w:color="auto"/>
          </w:divBdr>
        </w:div>
        <w:div w:id="1215266120">
          <w:marLeft w:val="0"/>
          <w:marRight w:val="0"/>
          <w:marTop w:val="0"/>
          <w:marBottom w:val="0"/>
          <w:divBdr>
            <w:top w:val="none" w:sz="0" w:space="0" w:color="auto"/>
            <w:left w:val="none" w:sz="0" w:space="0" w:color="auto"/>
            <w:bottom w:val="none" w:sz="0" w:space="0" w:color="auto"/>
            <w:right w:val="none" w:sz="0" w:space="0" w:color="auto"/>
          </w:divBdr>
        </w:div>
        <w:div w:id="1327174316">
          <w:marLeft w:val="0"/>
          <w:marRight w:val="0"/>
          <w:marTop w:val="0"/>
          <w:marBottom w:val="0"/>
          <w:divBdr>
            <w:top w:val="none" w:sz="0" w:space="0" w:color="auto"/>
            <w:left w:val="none" w:sz="0" w:space="0" w:color="auto"/>
            <w:bottom w:val="none" w:sz="0" w:space="0" w:color="auto"/>
            <w:right w:val="none" w:sz="0" w:space="0" w:color="auto"/>
          </w:divBdr>
        </w:div>
        <w:div w:id="1613249707">
          <w:marLeft w:val="0"/>
          <w:marRight w:val="0"/>
          <w:marTop w:val="0"/>
          <w:marBottom w:val="0"/>
          <w:divBdr>
            <w:top w:val="none" w:sz="0" w:space="0" w:color="auto"/>
            <w:left w:val="none" w:sz="0" w:space="0" w:color="auto"/>
            <w:bottom w:val="none" w:sz="0" w:space="0" w:color="auto"/>
            <w:right w:val="none" w:sz="0" w:space="0" w:color="auto"/>
          </w:divBdr>
        </w:div>
        <w:div w:id="1974288089">
          <w:marLeft w:val="0"/>
          <w:marRight w:val="0"/>
          <w:marTop w:val="0"/>
          <w:marBottom w:val="0"/>
          <w:divBdr>
            <w:top w:val="none" w:sz="0" w:space="0" w:color="auto"/>
            <w:left w:val="none" w:sz="0" w:space="0" w:color="auto"/>
            <w:bottom w:val="none" w:sz="0" w:space="0" w:color="auto"/>
            <w:right w:val="none" w:sz="0" w:space="0" w:color="auto"/>
          </w:divBdr>
        </w:div>
        <w:div w:id="502814631">
          <w:marLeft w:val="0"/>
          <w:marRight w:val="0"/>
          <w:marTop w:val="0"/>
          <w:marBottom w:val="0"/>
          <w:divBdr>
            <w:top w:val="none" w:sz="0" w:space="0" w:color="auto"/>
            <w:left w:val="none" w:sz="0" w:space="0" w:color="auto"/>
            <w:bottom w:val="none" w:sz="0" w:space="0" w:color="auto"/>
            <w:right w:val="none" w:sz="0" w:space="0" w:color="auto"/>
          </w:divBdr>
        </w:div>
        <w:div w:id="1373648075">
          <w:marLeft w:val="0"/>
          <w:marRight w:val="0"/>
          <w:marTop w:val="0"/>
          <w:marBottom w:val="0"/>
          <w:divBdr>
            <w:top w:val="none" w:sz="0" w:space="0" w:color="auto"/>
            <w:left w:val="none" w:sz="0" w:space="0" w:color="auto"/>
            <w:bottom w:val="none" w:sz="0" w:space="0" w:color="auto"/>
            <w:right w:val="none" w:sz="0" w:space="0" w:color="auto"/>
          </w:divBdr>
        </w:div>
        <w:div w:id="1560701009">
          <w:marLeft w:val="0"/>
          <w:marRight w:val="0"/>
          <w:marTop w:val="0"/>
          <w:marBottom w:val="0"/>
          <w:divBdr>
            <w:top w:val="none" w:sz="0" w:space="0" w:color="auto"/>
            <w:left w:val="none" w:sz="0" w:space="0" w:color="auto"/>
            <w:bottom w:val="none" w:sz="0" w:space="0" w:color="auto"/>
            <w:right w:val="none" w:sz="0" w:space="0" w:color="auto"/>
          </w:divBdr>
        </w:div>
        <w:div w:id="185097460">
          <w:marLeft w:val="0"/>
          <w:marRight w:val="0"/>
          <w:marTop w:val="0"/>
          <w:marBottom w:val="0"/>
          <w:divBdr>
            <w:top w:val="none" w:sz="0" w:space="0" w:color="auto"/>
            <w:left w:val="none" w:sz="0" w:space="0" w:color="auto"/>
            <w:bottom w:val="none" w:sz="0" w:space="0" w:color="auto"/>
            <w:right w:val="none" w:sz="0" w:space="0" w:color="auto"/>
          </w:divBdr>
        </w:div>
        <w:div w:id="482818137">
          <w:marLeft w:val="0"/>
          <w:marRight w:val="0"/>
          <w:marTop w:val="0"/>
          <w:marBottom w:val="0"/>
          <w:divBdr>
            <w:top w:val="none" w:sz="0" w:space="0" w:color="auto"/>
            <w:left w:val="none" w:sz="0" w:space="0" w:color="auto"/>
            <w:bottom w:val="none" w:sz="0" w:space="0" w:color="auto"/>
            <w:right w:val="none" w:sz="0" w:space="0" w:color="auto"/>
          </w:divBdr>
        </w:div>
      </w:divsChild>
    </w:div>
    <w:div w:id="1080761067">
      <w:bodyDiv w:val="1"/>
      <w:marLeft w:val="0"/>
      <w:marRight w:val="0"/>
      <w:marTop w:val="0"/>
      <w:marBottom w:val="0"/>
      <w:divBdr>
        <w:top w:val="none" w:sz="0" w:space="0" w:color="auto"/>
        <w:left w:val="none" w:sz="0" w:space="0" w:color="auto"/>
        <w:bottom w:val="none" w:sz="0" w:space="0" w:color="auto"/>
        <w:right w:val="none" w:sz="0" w:space="0" w:color="auto"/>
      </w:divBdr>
      <w:divsChild>
        <w:div w:id="1968467941">
          <w:marLeft w:val="0"/>
          <w:marRight w:val="0"/>
          <w:marTop w:val="0"/>
          <w:marBottom w:val="0"/>
          <w:divBdr>
            <w:top w:val="none" w:sz="0" w:space="0" w:color="auto"/>
            <w:left w:val="none" w:sz="0" w:space="0" w:color="auto"/>
            <w:bottom w:val="none" w:sz="0" w:space="0" w:color="auto"/>
            <w:right w:val="none" w:sz="0" w:space="0" w:color="auto"/>
          </w:divBdr>
          <w:divsChild>
            <w:div w:id="1254244336">
              <w:marLeft w:val="0"/>
              <w:marRight w:val="0"/>
              <w:marTop w:val="0"/>
              <w:marBottom w:val="0"/>
              <w:divBdr>
                <w:top w:val="none" w:sz="0" w:space="0" w:color="auto"/>
                <w:left w:val="none" w:sz="0" w:space="0" w:color="auto"/>
                <w:bottom w:val="none" w:sz="0" w:space="0" w:color="auto"/>
                <w:right w:val="none" w:sz="0" w:space="0" w:color="auto"/>
              </w:divBdr>
              <w:divsChild>
                <w:div w:id="79521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374869">
      <w:bodyDiv w:val="1"/>
      <w:marLeft w:val="0"/>
      <w:marRight w:val="0"/>
      <w:marTop w:val="0"/>
      <w:marBottom w:val="0"/>
      <w:divBdr>
        <w:top w:val="none" w:sz="0" w:space="0" w:color="auto"/>
        <w:left w:val="none" w:sz="0" w:space="0" w:color="auto"/>
        <w:bottom w:val="none" w:sz="0" w:space="0" w:color="auto"/>
        <w:right w:val="none" w:sz="0" w:space="0" w:color="auto"/>
      </w:divBdr>
      <w:divsChild>
        <w:div w:id="1309624592">
          <w:marLeft w:val="0"/>
          <w:marRight w:val="0"/>
          <w:marTop w:val="0"/>
          <w:marBottom w:val="0"/>
          <w:divBdr>
            <w:top w:val="none" w:sz="0" w:space="0" w:color="auto"/>
            <w:left w:val="none" w:sz="0" w:space="0" w:color="auto"/>
            <w:bottom w:val="none" w:sz="0" w:space="0" w:color="auto"/>
            <w:right w:val="none" w:sz="0" w:space="0" w:color="auto"/>
          </w:divBdr>
          <w:divsChild>
            <w:div w:id="1811363578">
              <w:marLeft w:val="0"/>
              <w:marRight w:val="0"/>
              <w:marTop w:val="0"/>
              <w:marBottom w:val="0"/>
              <w:divBdr>
                <w:top w:val="none" w:sz="0" w:space="0" w:color="auto"/>
                <w:left w:val="none" w:sz="0" w:space="0" w:color="auto"/>
                <w:bottom w:val="none" w:sz="0" w:space="0" w:color="auto"/>
                <w:right w:val="none" w:sz="0" w:space="0" w:color="auto"/>
              </w:divBdr>
              <w:divsChild>
                <w:div w:id="1270158390">
                  <w:marLeft w:val="0"/>
                  <w:marRight w:val="0"/>
                  <w:marTop w:val="0"/>
                  <w:marBottom w:val="0"/>
                  <w:divBdr>
                    <w:top w:val="none" w:sz="0" w:space="0" w:color="auto"/>
                    <w:left w:val="none" w:sz="0" w:space="0" w:color="auto"/>
                    <w:bottom w:val="none" w:sz="0" w:space="0" w:color="auto"/>
                    <w:right w:val="none" w:sz="0" w:space="0" w:color="auto"/>
                  </w:divBdr>
                </w:div>
              </w:divsChild>
            </w:div>
            <w:div w:id="1973437153">
              <w:marLeft w:val="0"/>
              <w:marRight w:val="0"/>
              <w:marTop w:val="0"/>
              <w:marBottom w:val="0"/>
              <w:divBdr>
                <w:top w:val="none" w:sz="0" w:space="0" w:color="auto"/>
                <w:left w:val="none" w:sz="0" w:space="0" w:color="auto"/>
                <w:bottom w:val="none" w:sz="0" w:space="0" w:color="auto"/>
                <w:right w:val="none" w:sz="0" w:space="0" w:color="auto"/>
              </w:divBdr>
              <w:divsChild>
                <w:div w:id="49218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6302">
          <w:marLeft w:val="0"/>
          <w:marRight w:val="0"/>
          <w:marTop w:val="0"/>
          <w:marBottom w:val="0"/>
          <w:divBdr>
            <w:top w:val="none" w:sz="0" w:space="0" w:color="auto"/>
            <w:left w:val="none" w:sz="0" w:space="0" w:color="auto"/>
            <w:bottom w:val="none" w:sz="0" w:space="0" w:color="auto"/>
            <w:right w:val="none" w:sz="0" w:space="0" w:color="auto"/>
          </w:divBdr>
          <w:divsChild>
            <w:div w:id="982470989">
              <w:marLeft w:val="0"/>
              <w:marRight w:val="0"/>
              <w:marTop w:val="0"/>
              <w:marBottom w:val="0"/>
              <w:divBdr>
                <w:top w:val="none" w:sz="0" w:space="0" w:color="auto"/>
                <w:left w:val="none" w:sz="0" w:space="0" w:color="auto"/>
                <w:bottom w:val="none" w:sz="0" w:space="0" w:color="auto"/>
                <w:right w:val="none" w:sz="0" w:space="0" w:color="auto"/>
              </w:divBdr>
              <w:divsChild>
                <w:div w:id="136533990">
                  <w:marLeft w:val="0"/>
                  <w:marRight w:val="0"/>
                  <w:marTop w:val="0"/>
                  <w:marBottom w:val="0"/>
                  <w:divBdr>
                    <w:top w:val="none" w:sz="0" w:space="0" w:color="auto"/>
                    <w:left w:val="none" w:sz="0" w:space="0" w:color="auto"/>
                    <w:bottom w:val="none" w:sz="0" w:space="0" w:color="auto"/>
                    <w:right w:val="none" w:sz="0" w:space="0" w:color="auto"/>
                  </w:divBdr>
                </w:div>
              </w:divsChild>
            </w:div>
            <w:div w:id="2113165012">
              <w:marLeft w:val="0"/>
              <w:marRight w:val="0"/>
              <w:marTop w:val="0"/>
              <w:marBottom w:val="0"/>
              <w:divBdr>
                <w:top w:val="none" w:sz="0" w:space="0" w:color="auto"/>
                <w:left w:val="none" w:sz="0" w:space="0" w:color="auto"/>
                <w:bottom w:val="none" w:sz="0" w:space="0" w:color="auto"/>
                <w:right w:val="none" w:sz="0" w:space="0" w:color="auto"/>
              </w:divBdr>
              <w:divsChild>
                <w:div w:id="15395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571071">
      <w:bodyDiv w:val="1"/>
      <w:marLeft w:val="0"/>
      <w:marRight w:val="0"/>
      <w:marTop w:val="0"/>
      <w:marBottom w:val="0"/>
      <w:divBdr>
        <w:top w:val="none" w:sz="0" w:space="0" w:color="auto"/>
        <w:left w:val="none" w:sz="0" w:space="0" w:color="auto"/>
        <w:bottom w:val="none" w:sz="0" w:space="0" w:color="auto"/>
        <w:right w:val="none" w:sz="0" w:space="0" w:color="auto"/>
      </w:divBdr>
      <w:divsChild>
        <w:div w:id="1647275648">
          <w:marLeft w:val="0"/>
          <w:marRight w:val="0"/>
          <w:marTop w:val="0"/>
          <w:marBottom w:val="0"/>
          <w:divBdr>
            <w:top w:val="none" w:sz="0" w:space="0" w:color="auto"/>
            <w:left w:val="none" w:sz="0" w:space="0" w:color="auto"/>
            <w:bottom w:val="none" w:sz="0" w:space="0" w:color="auto"/>
            <w:right w:val="none" w:sz="0" w:space="0" w:color="auto"/>
          </w:divBdr>
          <w:divsChild>
            <w:div w:id="995648914">
              <w:marLeft w:val="0"/>
              <w:marRight w:val="0"/>
              <w:marTop w:val="0"/>
              <w:marBottom w:val="0"/>
              <w:divBdr>
                <w:top w:val="none" w:sz="0" w:space="0" w:color="auto"/>
                <w:left w:val="none" w:sz="0" w:space="0" w:color="auto"/>
                <w:bottom w:val="none" w:sz="0" w:space="0" w:color="auto"/>
                <w:right w:val="none" w:sz="0" w:space="0" w:color="auto"/>
              </w:divBdr>
              <w:divsChild>
                <w:div w:id="1389375369">
                  <w:marLeft w:val="0"/>
                  <w:marRight w:val="0"/>
                  <w:marTop w:val="0"/>
                  <w:marBottom w:val="0"/>
                  <w:divBdr>
                    <w:top w:val="none" w:sz="0" w:space="0" w:color="auto"/>
                    <w:left w:val="none" w:sz="0" w:space="0" w:color="auto"/>
                    <w:bottom w:val="none" w:sz="0" w:space="0" w:color="auto"/>
                    <w:right w:val="none" w:sz="0" w:space="0" w:color="auto"/>
                  </w:divBdr>
                </w:div>
              </w:divsChild>
            </w:div>
            <w:div w:id="1366100305">
              <w:marLeft w:val="0"/>
              <w:marRight w:val="0"/>
              <w:marTop w:val="0"/>
              <w:marBottom w:val="0"/>
              <w:divBdr>
                <w:top w:val="none" w:sz="0" w:space="0" w:color="auto"/>
                <w:left w:val="none" w:sz="0" w:space="0" w:color="auto"/>
                <w:bottom w:val="none" w:sz="0" w:space="0" w:color="auto"/>
                <w:right w:val="none" w:sz="0" w:space="0" w:color="auto"/>
              </w:divBdr>
              <w:divsChild>
                <w:div w:id="1059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8179">
          <w:marLeft w:val="0"/>
          <w:marRight w:val="0"/>
          <w:marTop w:val="0"/>
          <w:marBottom w:val="0"/>
          <w:divBdr>
            <w:top w:val="none" w:sz="0" w:space="0" w:color="auto"/>
            <w:left w:val="none" w:sz="0" w:space="0" w:color="auto"/>
            <w:bottom w:val="none" w:sz="0" w:space="0" w:color="auto"/>
            <w:right w:val="none" w:sz="0" w:space="0" w:color="auto"/>
          </w:divBdr>
          <w:divsChild>
            <w:div w:id="114108072">
              <w:marLeft w:val="0"/>
              <w:marRight w:val="0"/>
              <w:marTop w:val="0"/>
              <w:marBottom w:val="0"/>
              <w:divBdr>
                <w:top w:val="none" w:sz="0" w:space="0" w:color="auto"/>
                <w:left w:val="none" w:sz="0" w:space="0" w:color="auto"/>
                <w:bottom w:val="none" w:sz="0" w:space="0" w:color="auto"/>
                <w:right w:val="none" w:sz="0" w:space="0" w:color="auto"/>
              </w:divBdr>
              <w:divsChild>
                <w:div w:id="1587106575">
                  <w:marLeft w:val="0"/>
                  <w:marRight w:val="0"/>
                  <w:marTop w:val="0"/>
                  <w:marBottom w:val="0"/>
                  <w:divBdr>
                    <w:top w:val="none" w:sz="0" w:space="0" w:color="auto"/>
                    <w:left w:val="none" w:sz="0" w:space="0" w:color="auto"/>
                    <w:bottom w:val="none" w:sz="0" w:space="0" w:color="auto"/>
                    <w:right w:val="none" w:sz="0" w:space="0" w:color="auto"/>
                  </w:divBdr>
                </w:div>
              </w:divsChild>
            </w:div>
            <w:div w:id="2094885883">
              <w:marLeft w:val="0"/>
              <w:marRight w:val="0"/>
              <w:marTop w:val="0"/>
              <w:marBottom w:val="0"/>
              <w:divBdr>
                <w:top w:val="none" w:sz="0" w:space="0" w:color="auto"/>
                <w:left w:val="none" w:sz="0" w:space="0" w:color="auto"/>
                <w:bottom w:val="none" w:sz="0" w:space="0" w:color="auto"/>
                <w:right w:val="none" w:sz="0" w:space="0" w:color="auto"/>
              </w:divBdr>
              <w:divsChild>
                <w:div w:id="3006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484627">
      <w:bodyDiv w:val="1"/>
      <w:marLeft w:val="0"/>
      <w:marRight w:val="0"/>
      <w:marTop w:val="0"/>
      <w:marBottom w:val="0"/>
      <w:divBdr>
        <w:top w:val="none" w:sz="0" w:space="0" w:color="auto"/>
        <w:left w:val="none" w:sz="0" w:space="0" w:color="auto"/>
        <w:bottom w:val="none" w:sz="0" w:space="0" w:color="auto"/>
        <w:right w:val="none" w:sz="0" w:space="0" w:color="auto"/>
      </w:divBdr>
      <w:divsChild>
        <w:div w:id="963855099">
          <w:marLeft w:val="0"/>
          <w:marRight w:val="0"/>
          <w:marTop w:val="0"/>
          <w:marBottom w:val="0"/>
          <w:divBdr>
            <w:top w:val="none" w:sz="0" w:space="0" w:color="auto"/>
            <w:left w:val="none" w:sz="0" w:space="0" w:color="auto"/>
            <w:bottom w:val="none" w:sz="0" w:space="0" w:color="auto"/>
            <w:right w:val="none" w:sz="0" w:space="0" w:color="auto"/>
          </w:divBdr>
        </w:div>
        <w:div w:id="924189023">
          <w:marLeft w:val="0"/>
          <w:marRight w:val="0"/>
          <w:marTop w:val="0"/>
          <w:marBottom w:val="0"/>
          <w:divBdr>
            <w:top w:val="none" w:sz="0" w:space="0" w:color="auto"/>
            <w:left w:val="none" w:sz="0" w:space="0" w:color="auto"/>
            <w:bottom w:val="none" w:sz="0" w:space="0" w:color="auto"/>
            <w:right w:val="none" w:sz="0" w:space="0" w:color="auto"/>
          </w:divBdr>
        </w:div>
        <w:div w:id="812482552">
          <w:marLeft w:val="0"/>
          <w:marRight w:val="0"/>
          <w:marTop w:val="0"/>
          <w:marBottom w:val="0"/>
          <w:divBdr>
            <w:top w:val="none" w:sz="0" w:space="0" w:color="auto"/>
            <w:left w:val="none" w:sz="0" w:space="0" w:color="auto"/>
            <w:bottom w:val="none" w:sz="0" w:space="0" w:color="auto"/>
            <w:right w:val="none" w:sz="0" w:space="0" w:color="auto"/>
          </w:divBdr>
        </w:div>
        <w:div w:id="1848714861">
          <w:marLeft w:val="0"/>
          <w:marRight w:val="0"/>
          <w:marTop w:val="0"/>
          <w:marBottom w:val="0"/>
          <w:divBdr>
            <w:top w:val="none" w:sz="0" w:space="0" w:color="auto"/>
            <w:left w:val="none" w:sz="0" w:space="0" w:color="auto"/>
            <w:bottom w:val="none" w:sz="0" w:space="0" w:color="auto"/>
            <w:right w:val="none" w:sz="0" w:space="0" w:color="auto"/>
          </w:divBdr>
        </w:div>
        <w:div w:id="1172988013">
          <w:marLeft w:val="0"/>
          <w:marRight w:val="0"/>
          <w:marTop w:val="0"/>
          <w:marBottom w:val="0"/>
          <w:divBdr>
            <w:top w:val="none" w:sz="0" w:space="0" w:color="auto"/>
            <w:left w:val="none" w:sz="0" w:space="0" w:color="auto"/>
            <w:bottom w:val="none" w:sz="0" w:space="0" w:color="auto"/>
            <w:right w:val="none" w:sz="0" w:space="0" w:color="auto"/>
          </w:divBdr>
        </w:div>
        <w:div w:id="1784416703">
          <w:marLeft w:val="0"/>
          <w:marRight w:val="0"/>
          <w:marTop w:val="0"/>
          <w:marBottom w:val="0"/>
          <w:divBdr>
            <w:top w:val="none" w:sz="0" w:space="0" w:color="auto"/>
            <w:left w:val="none" w:sz="0" w:space="0" w:color="auto"/>
            <w:bottom w:val="none" w:sz="0" w:space="0" w:color="auto"/>
            <w:right w:val="none" w:sz="0" w:space="0" w:color="auto"/>
          </w:divBdr>
        </w:div>
        <w:div w:id="1671254707">
          <w:marLeft w:val="0"/>
          <w:marRight w:val="0"/>
          <w:marTop w:val="0"/>
          <w:marBottom w:val="0"/>
          <w:divBdr>
            <w:top w:val="none" w:sz="0" w:space="0" w:color="auto"/>
            <w:left w:val="none" w:sz="0" w:space="0" w:color="auto"/>
            <w:bottom w:val="none" w:sz="0" w:space="0" w:color="auto"/>
            <w:right w:val="none" w:sz="0" w:space="0" w:color="auto"/>
          </w:divBdr>
        </w:div>
        <w:div w:id="802767450">
          <w:marLeft w:val="0"/>
          <w:marRight w:val="0"/>
          <w:marTop w:val="0"/>
          <w:marBottom w:val="0"/>
          <w:divBdr>
            <w:top w:val="none" w:sz="0" w:space="0" w:color="auto"/>
            <w:left w:val="none" w:sz="0" w:space="0" w:color="auto"/>
            <w:bottom w:val="none" w:sz="0" w:space="0" w:color="auto"/>
            <w:right w:val="none" w:sz="0" w:space="0" w:color="auto"/>
          </w:divBdr>
        </w:div>
        <w:div w:id="194124469">
          <w:marLeft w:val="0"/>
          <w:marRight w:val="0"/>
          <w:marTop w:val="0"/>
          <w:marBottom w:val="0"/>
          <w:divBdr>
            <w:top w:val="none" w:sz="0" w:space="0" w:color="auto"/>
            <w:left w:val="none" w:sz="0" w:space="0" w:color="auto"/>
            <w:bottom w:val="none" w:sz="0" w:space="0" w:color="auto"/>
            <w:right w:val="none" w:sz="0" w:space="0" w:color="auto"/>
          </w:divBdr>
        </w:div>
        <w:div w:id="744573082">
          <w:marLeft w:val="0"/>
          <w:marRight w:val="0"/>
          <w:marTop w:val="0"/>
          <w:marBottom w:val="0"/>
          <w:divBdr>
            <w:top w:val="none" w:sz="0" w:space="0" w:color="auto"/>
            <w:left w:val="none" w:sz="0" w:space="0" w:color="auto"/>
            <w:bottom w:val="none" w:sz="0" w:space="0" w:color="auto"/>
            <w:right w:val="none" w:sz="0" w:space="0" w:color="auto"/>
          </w:divBdr>
        </w:div>
        <w:div w:id="1255286227">
          <w:marLeft w:val="0"/>
          <w:marRight w:val="0"/>
          <w:marTop w:val="0"/>
          <w:marBottom w:val="0"/>
          <w:divBdr>
            <w:top w:val="none" w:sz="0" w:space="0" w:color="auto"/>
            <w:left w:val="none" w:sz="0" w:space="0" w:color="auto"/>
            <w:bottom w:val="none" w:sz="0" w:space="0" w:color="auto"/>
            <w:right w:val="none" w:sz="0" w:space="0" w:color="auto"/>
          </w:divBdr>
        </w:div>
        <w:div w:id="625624707">
          <w:marLeft w:val="0"/>
          <w:marRight w:val="0"/>
          <w:marTop w:val="0"/>
          <w:marBottom w:val="0"/>
          <w:divBdr>
            <w:top w:val="none" w:sz="0" w:space="0" w:color="auto"/>
            <w:left w:val="none" w:sz="0" w:space="0" w:color="auto"/>
            <w:bottom w:val="none" w:sz="0" w:space="0" w:color="auto"/>
            <w:right w:val="none" w:sz="0" w:space="0" w:color="auto"/>
          </w:divBdr>
        </w:div>
        <w:div w:id="1031765264">
          <w:marLeft w:val="0"/>
          <w:marRight w:val="0"/>
          <w:marTop w:val="0"/>
          <w:marBottom w:val="0"/>
          <w:divBdr>
            <w:top w:val="none" w:sz="0" w:space="0" w:color="auto"/>
            <w:left w:val="none" w:sz="0" w:space="0" w:color="auto"/>
            <w:bottom w:val="none" w:sz="0" w:space="0" w:color="auto"/>
            <w:right w:val="none" w:sz="0" w:space="0" w:color="auto"/>
          </w:divBdr>
        </w:div>
        <w:div w:id="1798258591">
          <w:marLeft w:val="0"/>
          <w:marRight w:val="0"/>
          <w:marTop w:val="0"/>
          <w:marBottom w:val="0"/>
          <w:divBdr>
            <w:top w:val="none" w:sz="0" w:space="0" w:color="auto"/>
            <w:left w:val="none" w:sz="0" w:space="0" w:color="auto"/>
            <w:bottom w:val="none" w:sz="0" w:space="0" w:color="auto"/>
            <w:right w:val="none" w:sz="0" w:space="0" w:color="auto"/>
          </w:divBdr>
        </w:div>
        <w:div w:id="1594513092">
          <w:marLeft w:val="0"/>
          <w:marRight w:val="0"/>
          <w:marTop w:val="0"/>
          <w:marBottom w:val="0"/>
          <w:divBdr>
            <w:top w:val="none" w:sz="0" w:space="0" w:color="auto"/>
            <w:left w:val="none" w:sz="0" w:space="0" w:color="auto"/>
            <w:bottom w:val="none" w:sz="0" w:space="0" w:color="auto"/>
            <w:right w:val="none" w:sz="0" w:space="0" w:color="auto"/>
          </w:divBdr>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01012245">
      <w:bodyDiv w:val="1"/>
      <w:marLeft w:val="0"/>
      <w:marRight w:val="0"/>
      <w:marTop w:val="0"/>
      <w:marBottom w:val="0"/>
      <w:divBdr>
        <w:top w:val="none" w:sz="0" w:space="0" w:color="auto"/>
        <w:left w:val="none" w:sz="0" w:space="0" w:color="auto"/>
        <w:bottom w:val="none" w:sz="0" w:space="0" w:color="auto"/>
        <w:right w:val="none" w:sz="0" w:space="0" w:color="auto"/>
      </w:divBdr>
      <w:divsChild>
        <w:div w:id="102697491">
          <w:marLeft w:val="360"/>
          <w:marRight w:val="0"/>
          <w:marTop w:val="200"/>
          <w:marBottom w:val="0"/>
          <w:divBdr>
            <w:top w:val="none" w:sz="0" w:space="0" w:color="auto"/>
            <w:left w:val="none" w:sz="0" w:space="0" w:color="auto"/>
            <w:bottom w:val="none" w:sz="0" w:space="0" w:color="auto"/>
            <w:right w:val="none" w:sz="0" w:space="0" w:color="auto"/>
          </w:divBdr>
        </w:div>
        <w:div w:id="1688871315">
          <w:marLeft w:val="1080"/>
          <w:marRight w:val="0"/>
          <w:marTop w:val="100"/>
          <w:marBottom w:val="0"/>
          <w:divBdr>
            <w:top w:val="none" w:sz="0" w:space="0" w:color="auto"/>
            <w:left w:val="none" w:sz="0" w:space="0" w:color="auto"/>
            <w:bottom w:val="none" w:sz="0" w:space="0" w:color="auto"/>
            <w:right w:val="none" w:sz="0" w:space="0" w:color="auto"/>
          </w:divBdr>
        </w:div>
        <w:div w:id="970981571">
          <w:marLeft w:val="360"/>
          <w:marRight w:val="0"/>
          <w:marTop w:val="200"/>
          <w:marBottom w:val="0"/>
          <w:divBdr>
            <w:top w:val="none" w:sz="0" w:space="0" w:color="auto"/>
            <w:left w:val="none" w:sz="0" w:space="0" w:color="auto"/>
            <w:bottom w:val="none" w:sz="0" w:space="0" w:color="auto"/>
            <w:right w:val="none" w:sz="0" w:space="0" w:color="auto"/>
          </w:divBdr>
        </w:div>
        <w:div w:id="1851220021">
          <w:marLeft w:val="1080"/>
          <w:marRight w:val="0"/>
          <w:marTop w:val="100"/>
          <w:marBottom w:val="0"/>
          <w:divBdr>
            <w:top w:val="none" w:sz="0" w:space="0" w:color="auto"/>
            <w:left w:val="none" w:sz="0" w:space="0" w:color="auto"/>
            <w:bottom w:val="none" w:sz="0" w:space="0" w:color="auto"/>
            <w:right w:val="none" w:sz="0" w:space="0" w:color="auto"/>
          </w:divBdr>
        </w:div>
        <w:div w:id="194623426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40F0A-618F-144E-8C8D-993799FA4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4</Pages>
  <Words>920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6</cp:revision>
  <cp:lastPrinted>2019-02-25T14:05:00Z</cp:lastPrinted>
  <dcterms:created xsi:type="dcterms:W3CDTF">2022-02-04T20:44:00Z</dcterms:created>
  <dcterms:modified xsi:type="dcterms:W3CDTF">2022-02-15T00:55:00Z</dcterms:modified>
  <cp:category/>
</cp:coreProperties>
</file>